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00801" w14:textId="77777777" w:rsidR="0066476D" w:rsidRDefault="0066476D" w:rsidP="0066476D">
      <w:pPr>
        <w:jc w:val="center"/>
        <w:rPr>
          <w:b/>
          <w:sz w:val="28"/>
          <w:szCs w:val="28"/>
        </w:rPr>
      </w:pPr>
      <w:r w:rsidRPr="00AB60AC">
        <w:rPr>
          <w:b/>
          <w:sz w:val="28"/>
          <w:szCs w:val="28"/>
        </w:rPr>
        <w:t xml:space="preserve">Аналіз впливу регуляторного </w:t>
      </w:r>
      <w:proofErr w:type="spellStart"/>
      <w:r w:rsidRPr="00AB60AC">
        <w:rPr>
          <w:b/>
          <w:sz w:val="28"/>
          <w:szCs w:val="28"/>
        </w:rPr>
        <w:t>акта</w:t>
      </w:r>
      <w:proofErr w:type="spellEnd"/>
      <w:r w:rsidRPr="00AB60AC">
        <w:rPr>
          <w:b/>
          <w:sz w:val="28"/>
          <w:szCs w:val="28"/>
        </w:rPr>
        <w:t xml:space="preserve"> до проекту рішення </w:t>
      </w:r>
    </w:p>
    <w:p w14:paraId="2BBFE9B4" w14:textId="77777777" w:rsidR="0066476D" w:rsidRDefault="0066476D" w:rsidP="0066476D">
      <w:pPr>
        <w:jc w:val="center"/>
        <w:rPr>
          <w:b/>
          <w:sz w:val="28"/>
          <w:szCs w:val="28"/>
        </w:rPr>
      </w:pPr>
      <w:r w:rsidRPr="00AB60AC">
        <w:rPr>
          <w:b/>
          <w:sz w:val="28"/>
          <w:szCs w:val="28"/>
        </w:rPr>
        <w:t>виконавчого комітету Острозької міської ради «Про затвердження тарифів на необхідний мінімальний перелік окремих видів ритуальних послуг»</w:t>
      </w:r>
    </w:p>
    <w:p w14:paraId="7C7561F9" w14:textId="77777777" w:rsidR="0066476D" w:rsidRDefault="0066476D" w:rsidP="0066476D">
      <w:pPr>
        <w:jc w:val="center"/>
        <w:rPr>
          <w:b/>
          <w:sz w:val="28"/>
          <w:szCs w:val="28"/>
        </w:rPr>
      </w:pPr>
    </w:p>
    <w:p w14:paraId="3E3C8784" w14:textId="77777777" w:rsidR="0066476D" w:rsidRDefault="0066476D" w:rsidP="0066476D">
      <w:pPr>
        <w:jc w:val="both"/>
      </w:pPr>
      <w:r>
        <w:tab/>
        <w:t>Аналіз регуляторного впливу проекту рішення виконавчого комітету Острозької міської ради «Про затвердження тарифів на необхідний мінімальний перелік окремих видів ритуальних послуг» розроблений відповідно до ст. 8 Закону України «Про засади державної регуляторної політики у сфері господарської діяльності» від 11.09.2003р. №1160-ІУ та Методики проведення аналізу регуляторного впливу, затвердженої Постановою Кабінету Міністрів України від 11.03.2004 №308 (зі змінами та доповненнями).</w:t>
      </w:r>
    </w:p>
    <w:p w14:paraId="3327A8BF" w14:textId="77777777" w:rsidR="0066476D" w:rsidRPr="000F782D" w:rsidRDefault="0066476D" w:rsidP="0066476D">
      <w:pPr>
        <w:jc w:val="both"/>
        <w:rPr>
          <w:sz w:val="10"/>
          <w:szCs w:val="10"/>
        </w:rPr>
      </w:pPr>
    </w:p>
    <w:p w14:paraId="13818068" w14:textId="77777777" w:rsidR="0066476D" w:rsidRDefault="0066476D" w:rsidP="0066476D">
      <w:pPr>
        <w:jc w:val="both"/>
      </w:pPr>
      <w:r>
        <w:t xml:space="preserve"> </w:t>
      </w:r>
      <w:r>
        <w:tab/>
        <w:t>Аналіз визначає правові та організаційні засади реалізації проекту рішення «Про затвердження тарифів на мінімальний перелік окремих видів ритуальних послуг».</w:t>
      </w:r>
    </w:p>
    <w:p w14:paraId="6A27C12A" w14:textId="77777777" w:rsidR="0066476D" w:rsidRDefault="0066476D" w:rsidP="0066476D"/>
    <w:p w14:paraId="122A489E" w14:textId="77777777" w:rsidR="0066476D" w:rsidRDefault="0066476D" w:rsidP="0066476D">
      <w:pPr>
        <w:numPr>
          <w:ilvl w:val="0"/>
          <w:numId w:val="1"/>
        </w:numPr>
        <w:rPr>
          <w:b/>
        </w:rPr>
      </w:pPr>
      <w:r w:rsidRPr="00653844">
        <w:rPr>
          <w:b/>
        </w:rPr>
        <w:t>Визначення проблеми</w:t>
      </w:r>
    </w:p>
    <w:p w14:paraId="7B309F80" w14:textId="77777777" w:rsidR="0066476D" w:rsidRPr="004437EF" w:rsidRDefault="0066476D" w:rsidP="0066476D">
      <w:pPr>
        <w:ind w:left="360"/>
        <w:rPr>
          <w:b/>
          <w:sz w:val="10"/>
          <w:szCs w:val="10"/>
        </w:rPr>
      </w:pPr>
    </w:p>
    <w:p w14:paraId="1363E3FE" w14:textId="77777777" w:rsidR="0066476D" w:rsidRDefault="0066476D" w:rsidP="0066476D">
      <w:pPr>
        <w:ind w:left="708"/>
        <w:jc w:val="both"/>
      </w:pPr>
      <w:r w:rsidRPr="00EC1BCB">
        <w:t>Питання</w:t>
      </w:r>
      <w:r>
        <w:t>, яке  пропонується  вирішити  шляхом прийняття відповідного регуляторного</w:t>
      </w:r>
    </w:p>
    <w:p w14:paraId="7A2E4FBA" w14:textId="77777777" w:rsidR="0066476D" w:rsidRDefault="0066476D" w:rsidP="0066476D">
      <w:pPr>
        <w:jc w:val="both"/>
      </w:pPr>
      <w:proofErr w:type="spellStart"/>
      <w:r>
        <w:t>акта</w:t>
      </w:r>
      <w:proofErr w:type="spellEnd"/>
      <w:r>
        <w:t>: прийняття рішення, необхідного для прозорого та ефективного встановлення розмірів тарифів на мінімальний перелік окремих видів ритуальних послуг, здійснення необхідного контролю за повнотою виконання повного переліку робіт у складі наданих послуг.</w:t>
      </w:r>
    </w:p>
    <w:p w14:paraId="5DB58536" w14:textId="77777777" w:rsidR="0066476D" w:rsidRDefault="0066476D" w:rsidP="0066476D">
      <w:pPr>
        <w:jc w:val="both"/>
        <w:rPr>
          <w:sz w:val="10"/>
          <w:szCs w:val="10"/>
        </w:rPr>
      </w:pPr>
      <w:r>
        <w:tab/>
        <w:t xml:space="preserve"> </w:t>
      </w:r>
    </w:p>
    <w:p w14:paraId="17C43F2A" w14:textId="77777777" w:rsidR="0066476D" w:rsidRDefault="0066476D" w:rsidP="0066476D">
      <w:pPr>
        <w:jc w:val="both"/>
      </w:pPr>
      <w:r>
        <w:tab/>
        <w:t>Чинні тарифи на послуги з поховання, були  затверджені рішенням виконавчого комітету Острозької міської ради «Про затвердження тарифів на необхідний мінімальний перелік окремих видів ритуальних послуг» від 19.02.2013 року №24. Їх розмір не змінюється вже понад шість років. За час дії тарифів значно зросла собівартість надання послуг внаслідок збільшення рівня мінімальної заробітної плати на 73% ( від 1147,00 грн. до 4723,00 грн.). Тарифи  на послуги не покривають їх собівартість, що в свою чергу стало причиною збиткової роботи підприємства. Тобто виходячи із цього, очевидно, що перегляд тарифів є необхідною мірою.</w:t>
      </w:r>
    </w:p>
    <w:p w14:paraId="5EB7D9DD" w14:textId="77777777" w:rsidR="0066476D" w:rsidRPr="0035721E" w:rsidRDefault="0066476D" w:rsidP="0066476D">
      <w:pPr>
        <w:jc w:val="both"/>
        <w:rPr>
          <w:sz w:val="10"/>
          <w:szCs w:val="10"/>
        </w:rPr>
      </w:pPr>
    </w:p>
    <w:p w14:paraId="4E2DE88C" w14:textId="77777777" w:rsidR="0066476D" w:rsidRDefault="0066476D" w:rsidP="0066476D">
      <w:pPr>
        <w:jc w:val="both"/>
      </w:pPr>
      <w:r>
        <w:tab/>
        <w:t xml:space="preserve">Розв’язання даної проблеми за допомогою ринкового механізму неможливе, оскільки чинне законодавство чітко регламентує, що орган місцевого самоврядування вирішує питання регулювання тарифів на послуги.  </w:t>
      </w:r>
    </w:p>
    <w:p w14:paraId="523F26F6" w14:textId="77777777" w:rsidR="0066476D" w:rsidRPr="001575E0" w:rsidRDefault="0066476D" w:rsidP="0066476D">
      <w:pPr>
        <w:jc w:val="both"/>
        <w:rPr>
          <w:sz w:val="10"/>
          <w:szCs w:val="10"/>
        </w:rPr>
      </w:pPr>
    </w:p>
    <w:p w14:paraId="5BC69EFB" w14:textId="77777777" w:rsidR="0066476D" w:rsidRDefault="0066476D" w:rsidP="0066476D">
      <w:pPr>
        <w:jc w:val="both"/>
      </w:pPr>
      <w:r>
        <w:tab/>
        <w:t>Основні групи, на які проблема справляє вплив:</w:t>
      </w:r>
    </w:p>
    <w:tbl>
      <w:tblPr>
        <w:tblStyle w:val="TableGrid"/>
        <w:tblW w:w="0" w:type="auto"/>
        <w:tblLook w:val="01E0" w:firstRow="1" w:lastRow="1" w:firstColumn="1" w:lastColumn="1" w:noHBand="0" w:noVBand="0"/>
      </w:tblPr>
      <w:tblGrid>
        <w:gridCol w:w="4968"/>
        <w:gridCol w:w="1980"/>
        <w:gridCol w:w="2160"/>
      </w:tblGrid>
      <w:tr w:rsidR="0066476D" w14:paraId="0E43A8C7" w14:textId="77777777" w:rsidTr="003D2877">
        <w:tc>
          <w:tcPr>
            <w:tcW w:w="4968" w:type="dxa"/>
          </w:tcPr>
          <w:p w14:paraId="6DCDE76F" w14:textId="77777777" w:rsidR="0066476D" w:rsidRDefault="0066476D" w:rsidP="003D2877">
            <w:pPr>
              <w:jc w:val="center"/>
            </w:pPr>
            <w:r>
              <w:t>Групи (підгрупи)</w:t>
            </w:r>
          </w:p>
        </w:tc>
        <w:tc>
          <w:tcPr>
            <w:tcW w:w="1980" w:type="dxa"/>
          </w:tcPr>
          <w:p w14:paraId="0F348EE1" w14:textId="77777777" w:rsidR="0066476D" w:rsidRDefault="0066476D" w:rsidP="003D2877">
            <w:pPr>
              <w:jc w:val="center"/>
            </w:pPr>
            <w:r>
              <w:t>Так</w:t>
            </w:r>
          </w:p>
        </w:tc>
        <w:tc>
          <w:tcPr>
            <w:tcW w:w="2160" w:type="dxa"/>
          </w:tcPr>
          <w:p w14:paraId="6E5A0376" w14:textId="77777777" w:rsidR="0066476D" w:rsidRDefault="0066476D" w:rsidP="003D2877">
            <w:pPr>
              <w:jc w:val="center"/>
            </w:pPr>
            <w:r>
              <w:t>Ні</w:t>
            </w:r>
          </w:p>
        </w:tc>
      </w:tr>
      <w:tr w:rsidR="0066476D" w14:paraId="65F1501D" w14:textId="77777777" w:rsidTr="003D2877">
        <w:tc>
          <w:tcPr>
            <w:tcW w:w="4968" w:type="dxa"/>
          </w:tcPr>
          <w:p w14:paraId="54AE84C7" w14:textId="77777777" w:rsidR="0066476D" w:rsidRDefault="0066476D" w:rsidP="003D2877">
            <w:pPr>
              <w:jc w:val="both"/>
            </w:pPr>
            <w:r>
              <w:t>Громадяни</w:t>
            </w:r>
          </w:p>
        </w:tc>
        <w:tc>
          <w:tcPr>
            <w:tcW w:w="1980" w:type="dxa"/>
          </w:tcPr>
          <w:p w14:paraId="46289FC2" w14:textId="77777777" w:rsidR="0066476D" w:rsidRDefault="0066476D" w:rsidP="003D2877">
            <w:pPr>
              <w:jc w:val="center"/>
            </w:pPr>
            <w:r>
              <w:t>+</w:t>
            </w:r>
          </w:p>
        </w:tc>
        <w:tc>
          <w:tcPr>
            <w:tcW w:w="2160" w:type="dxa"/>
          </w:tcPr>
          <w:p w14:paraId="1F85AAAC" w14:textId="77777777" w:rsidR="0066476D" w:rsidRDefault="0066476D" w:rsidP="003D2877">
            <w:pPr>
              <w:jc w:val="both"/>
            </w:pPr>
          </w:p>
        </w:tc>
      </w:tr>
      <w:tr w:rsidR="0066476D" w14:paraId="6A2E4A88" w14:textId="77777777" w:rsidTr="003D2877">
        <w:tc>
          <w:tcPr>
            <w:tcW w:w="4968" w:type="dxa"/>
          </w:tcPr>
          <w:p w14:paraId="759B5B3F" w14:textId="77777777" w:rsidR="0066476D" w:rsidRDefault="0066476D" w:rsidP="003D2877">
            <w:r>
              <w:t>Орган місцевого самоврядування</w:t>
            </w:r>
          </w:p>
        </w:tc>
        <w:tc>
          <w:tcPr>
            <w:tcW w:w="1980" w:type="dxa"/>
          </w:tcPr>
          <w:p w14:paraId="6408839C" w14:textId="77777777" w:rsidR="0066476D" w:rsidRDefault="0066476D" w:rsidP="003D2877">
            <w:pPr>
              <w:jc w:val="center"/>
            </w:pPr>
            <w:r>
              <w:t>+</w:t>
            </w:r>
          </w:p>
        </w:tc>
        <w:tc>
          <w:tcPr>
            <w:tcW w:w="2160" w:type="dxa"/>
          </w:tcPr>
          <w:p w14:paraId="35ADDE1A" w14:textId="77777777" w:rsidR="0066476D" w:rsidRDefault="0066476D" w:rsidP="003D2877">
            <w:pPr>
              <w:jc w:val="both"/>
            </w:pPr>
          </w:p>
        </w:tc>
      </w:tr>
      <w:tr w:rsidR="0066476D" w14:paraId="62490790" w14:textId="77777777" w:rsidTr="003D2877">
        <w:tc>
          <w:tcPr>
            <w:tcW w:w="4968" w:type="dxa"/>
          </w:tcPr>
          <w:p w14:paraId="0CEE415D" w14:textId="77777777" w:rsidR="0066476D" w:rsidRDefault="0066476D" w:rsidP="003D2877">
            <w:r>
              <w:t>Суб’єкт господарювання*</w:t>
            </w:r>
          </w:p>
        </w:tc>
        <w:tc>
          <w:tcPr>
            <w:tcW w:w="1980" w:type="dxa"/>
          </w:tcPr>
          <w:p w14:paraId="2B4E4D3A" w14:textId="77777777" w:rsidR="0066476D" w:rsidRDefault="0066476D" w:rsidP="003D2877">
            <w:pPr>
              <w:jc w:val="center"/>
            </w:pPr>
            <w:r>
              <w:t>+</w:t>
            </w:r>
          </w:p>
        </w:tc>
        <w:tc>
          <w:tcPr>
            <w:tcW w:w="2160" w:type="dxa"/>
          </w:tcPr>
          <w:p w14:paraId="75F565A3" w14:textId="77777777" w:rsidR="0066476D" w:rsidRDefault="0066476D" w:rsidP="003D2877">
            <w:pPr>
              <w:jc w:val="both"/>
            </w:pPr>
          </w:p>
        </w:tc>
      </w:tr>
    </w:tbl>
    <w:p w14:paraId="26B40824" w14:textId="77777777" w:rsidR="0066476D" w:rsidRPr="001575E0" w:rsidRDefault="0066476D" w:rsidP="0066476D">
      <w:pPr>
        <w:jc w:val="both"/>
        <w:rPr>
          <w:sz w:val="10"/>
          <w:szCs w:val="10"/>
        </w:rPr>
      </w:pPr>
    </w:p>
    <w:p w14:paraId="63A904F9" w14:textId="77777777" w:rsidR="0066476D" w:rsidRDefault="0066476D" w:rsidP="0066476D">
      <w:pPr>
        <w:jc w:val="both"/>
      </w:pPr>
      <w:r>
        <w:t xml:space="preserve">          *Суб’єкти господарювання – підприємство, що надає послуги. Проект рішення виконавчого комітету Острозької міської ради «Про затвердження тарифів на необхідний мінімальний перелік окремих видів ритуальних послуг» розроблено відповідно до вимог Закону України «Про поховання та похоронну справу», а розрахунки вартості послуг розроблено згідно вимог «Єдиної методики визначення вартості надання громадянам необхідного мінімального переліку окремих видів ритуальних послуг, реалізації предметів ритуальної належності» затвердженої наказом Міністерства з питань житлово-комунального господарства України» від 19.11.2003 року № 194 та «Про затвердження норм часу на надання ритуальних послуг та виготовлення предметів ритуальної належності» затвердженим наказом Міністерства з питань житлово-комунального господарства України від 03.03.2009 року № 52.</w:t>
      </w:r>
    </w:p>
    <w:p w14:paraId="6630B1A0" w14:textId="77777777" w:rsidR="0066476D" w:rsidRDefault="0066476D" w:rsidP="0066476D">
      <w:pPr>
        <w:jc w:val="both"/>
      </w:pPr>
    </w:p>
    <w:p w14:paraId="751B39EA" w14:textId="77777777" w:rsidR="0066476D" w:rsidRDefault="0066476D" w:rsidP="0066476D">
      <w:pPr>
        <w:numPr>
          <w:ilvl w:val="0"/>
          <w:numId w:val="1"/>
        </w:numPr>
        <w:jc w:val="both"/>
        <w:rPr>
          <w:b/>
        </w:rPr>
      </w:pPr>
      <w:r w:rsidRPr="00873482">
        <w:rPr>
          <w:b/>
        </w:rPr>
        <w:t>Цілі державного регулювання</w:t>
      </w:r>
    </w:p>
    <w:p w14:paraId="3089AA57" w14:textId="77777777" w:rsidR="0066476D" w:rsidRDefault="0066476D" w:rsidP="0066476D">
      <w:pPr>
        <w:ind w:left="360"/>
        <w:jc w:val="both"/>
        <w:rPr>
          <w:sz w:val="10"/>
          <w:szCs w:val="10"/>
        </w:rPr>
      </w:pPr>
    </w:p>
    <w:p w14:paraId="2C58877A" w14:textId="77777777" w:rsidR="0066476D" w:rsidRDefault="0066476D" w:rsidP="0066476D">
      <w:pPr>
        <w:ind w:left="708"/>
        <w:jc w:val="both"/>
      </w:pPr>
      <w:r>
        <w:t xml:space="preserve">Основними цілями прийняття пропонованого регуляторного </w:t>
      </w:r>
      <w:proofErr w:type="spellStart"/>
      <w:r>
        <w:t>акта</w:t>
      </w:r>
      <w:proofErr w:type="spellEnd"/>
      <w:r>
        <w:t xml:space="preserve"> є:</w:t>
      </w:r>
    </w:p>
    <w:p w14:paraId="5B520BD1" w14:textId="77777777" w:rsidR="0066476D" w:rsidRPr="00873482" w:rsidRDefault="0066476D" w:rsidP="0066476D">
      <w:pPr>
        <w:ind w:left="708"/>
        <w:jc w:val="both"/>
        <w:rPr>
          <w:sz w:val="10"/>
          <w:szCs w:val="10"/>
        </w:rPr>
      </w:pPr>
    </w:p>
    <w:p w14:paraId="759C291D" w14:textId="77777777" w:rsidR="0066476D" w:rsidRDefault="0066476D" w:rsidP="0066476D">
      <w:pPr>
        <w:numPr>
          <w:ilvl w:val="0"/>
          <w:numId w:val="2"/>
        </w:numPr>
        <w:jc w:val="both"/>
      </w:pPr>
      <w:r>
        <w:t>гарантування належного поховання померлих шляхом своєчасного та у повному обсязі</w:t>
      </w:r>
    </w:p>
    <w:p w14:paraId="02E235B9" w14:textId="77777777" w:rsidR="0066476D" w:rsidRDefault="0066476D" w:rsidP="0066476D">
      <w:pPr>
        <w:jc w:val="both"/>
      </w:pPr>
      <w:r>
        <w:lastRenderedPageBreak/>
        <w:t>надання необхідного мінімального переліку окремих видів ритуальних послуг, за тарифами, що відповідаю економічно обґрунтованій вартості їх надання;</w:t>
      </w:r>
    </w:p>
    <w:p w14:paraId="3B33BB2C" w14:textId="77777777" w:rsidR="0066476D" w:rsidRDefault="0066476D" w:rsidP="0066476D">
      <w:pPr>
        <w:numPr>
          <w:ilvl w:val="0"/>
          <w:numId w:val="2"/>
        </w:numPr>
        <w:jc w:val="both"/>
      </w:pPr>
      <w:r>
        <w:t>відкритість та прозорість складу тарифів на послуги;</w:t>
      </w:r>
    </w:p>
    <w:p w14:paraId="4AA04CF8" w14:textId="77777777" w:rsidR="0066476D" w:rsidRDefault="0066476D" w:rsidP="0066476D">
      <w:pPr>
        <w:numPr>
          <w:ilvl w:val="0"/>
          <w:numId w:val="2"/>
        </w:numPr>
        <w:jc w:val="both"/>
      </w:pPr>
      <w:r>
        <w:t>окупність надання послуг, стабільної та беззбиткової діяльності комунального</w:t>
      </w:r>
    </w:p>
    <w:p w14:paraId="02B5A99A" w14:textId="77777777" w:rsidR="0066476D" w:rsidRDefault="0066476D" w:rsidP="0066476D">
      <w:pPr>
        <w:jc w:val="both"/>
      </w:pPr>
      <w:r>
        <w:t>підприємства, в частині надання ритуальних послуг;</w:t>
      </w:r>
    </w:p>
    <w:p w14:paraId="0E3834D1" w14:textId="77777777" w:rsidR="0066476D" w:rsidRDefault="0066476D" w:rsidP="0066476D">
      <w:pPr>
        <w:numPr>
          <w:ilvl w:val="0"/>
          <w:numId w:val="2"/>
        </w:numPr>
        <w:jc w:val="both"/>
      </w:pPr>
      <w:r>
        <w:t>правове регулювання правовідносин між суб’єктами, на які поширюється дія</w:t>
      </w:r>
    </w:p>
    <w:p w14:paraId="1D4EEE6D" w14:textId="77777777" w:rsidR="0066476D" w:rsidRDefault="0066476D" w:rsidP="0066476D">
      <w:pPr>
        <w:jc w:val="both"/>
      </w:pPr>
      <w:r>
        <w:t xml:space="preserve">регуляторного </w:t>
      </w:r>
      <w:proofErr w:type="spellStart"/>
      <w:r>
        <w:t>акта</w:t>
      </w:r>
      <w:proofErr w:type="spellEnd"/>
      <w:r>
        <w:t>, шляхом формування цінової політики;</w:t>
      </w:r>
    </w:p>
    <w:p w14:paraId="781D946D" w14:textId="77777777" w:rsidR="0066476D" w:rsidRDefault="0066476D" w:rsidP="0066476D">
      <w:pPr>
        <w:numPr>
          <w:ilvl w:val="0"/>
          <w:numId w:val="2"/>
        </w:numPr>
        <w:jc w:val="both"/>
      </w:pPr>
      <w:r>
        <w:t>інформаційне забезпечення всіх груп, яких стосується затвердження даного рішення.</w:t>
      </w:r>
    </w:p>
    <w:p w14:paraId="21D408B8" w14:textId="77777777" w:rsidR="0066476D" w:rsidRDefault="0066476D" w:rsidP="0066476D">
      <w:pPr>
        <w:ind w:left="240"/>
        <w:jc w:val="both"/>
      </w:pPr>
    </w:p>
    <w:p w14:paraId="5E5F3CB4" w14:textId="77777777" w:rsidR="0066476D" w:rsidRDefault="0066476D" w:rsidP="0066476D">
      <w:pPr>
        <w:numPr>
          <w:ilvl w:val="0"/>
          <w:numId w:val="1"/>
        </w:numPr>
        <w:jc w:val="both"/>
        <w:rPr>
          <w:b/>
        </w:rPr>
      </w:pPr>
      <w:r>
        <w:rPr>
          <w:b/>
        </w:rPr>
        <w:t>Визначення та оцінка альтернативних способів досягнення цілей</w:t>
      </w:r>
    </w:p>
    <w:p w14:paraId="06A8B8A2" w14:textId="77777777" w:rsidR="0066476D" w:rsidRPr="001C43ED" w:rsidRDefault="0066476D" w:rsidP="0066476D">
      <w:pPr>
        <w:ind w:left="360"/>
        <w:jc w:val="both"/>
        <w:rPr>
          <w:b/>
          <w:sz w:val="10"/>
          <w:szCs w:val="10"/>
        </w:rPr>
      </w:pPr>
    </w:p>
    <w:p w14:paraId="11BFE044" w14:textId="77777777" w:rsidR="0066476D" w:rsidRDefault="0066476D" w:rsidP="0066476D">
      <w:pPr>
        <w:ind w:left="720"/>
        <w:jc w:val="both"/>
      </w:pPr>
      <w:r>
        <w:t xml:space="preserve">1. </w:t>
      </w:r>
      <w:r w:rsidRPr="001C43ED">
        <w:t xml:space="preserve">Для </w:t>
      </w:r>
      <w:r>
        <w:t>досягнення визначених цілей під час розробки проекту рішення було розглянуто</w:t>
      </w:r>
    </w:p>
    <w:p w14:paraId="090B5A23" w14:textId="77777777" w:rsidR="0066476D" w:rsidRPr="001C43ED" w:rsidRDefault="0066476D" w:rsidP="0066476D">
      <w:pPr>
        <w:jc w:val="both"/>
      </w:pPr>
      <w:r>
        <w:t>наступні альтернативні способи вирішення проблеми:</w:t>
      </w:r>
    </w:p>
    <w:p w14:paraId="138DA47E" w14:textId="77777777" w:rsidR="0066476D" w:rsidRPr="004954BE" w:rsidRDefault="0066476D" w:rsidP="0066476D">
      <w:pPr>
        <w:ind w:left="240"/>
        <w:jc w:val="both"/>
        <w:rPr>
          <w:sz w:val="10"/>
          <w:szCs w:val="10"/>
        </w:rPr>
      </w:pPr>
    </w:p>
    <w:tbl>
      <w:tblPr>
        <w:tblStyle w:val="TableGrid"/>
        <w:tblW w:w="0" w:type="auto"/>
        <w:tblInd w:w="360" w:type="dxa"/>
        <w:tblLook w:val="01E0" w:firstRow="1" w:lastRow="1" w:firstColumn="1" w:lastColumn="1" w:noHBand="0" w:noVBand="0"/>
      </w:tblPr>
      <w:tblGrid>
        <w:gridCol w:w="2448"/>
        <w:gridCol w:w="7151"/>
      </w:tblGrid>
      <w:tr w:rsidR="0066476D" w:rsidRPr="001C43ED" w14:paraId="0DCBF95F" w14:textId="77777777" w:rsidTr="003D2877">
        <w:tc>
          <w:tcPr>
            <w:tcW w:w="2448" w:type="dxa"/>
          </w:tcPr>
          <w:p w14:paraId="3BEC3CF5" w14:textId="77777777" w:rsidR="0066476D" w:rsidRPr="001C43ED" w:rsidRDefault="0066476D" w:rsidP="003D2877">
            <w:pPr>
              <w:jc w:val="center"/>
            </w:pPr>
            <w:r w:rsidRPr="001C43ED">
              <w:t>Вид альтернативи</w:t>
            </w:r>
          </w:p>
        </w:tc>
        <w:tc>
          <w:tcPr>
            <w:tcW w:w="7151" w:type="dxa"/>
          </w:tcPr>
          <w:p w14:paraId="70EB4BE8" w14:textId="77777777" w:rsidR="0066476D" w:rsidRPr="001C43ED" w:rsidRDefault="0066476D" w:rsidP="003D2877">
            <w:pPr>
              <w:jc w:val="center"/>
            </w:pPr>
            <w:r w:rsidRPr="001C43ED">
              <w:t>Опис альтернативи</w:t>
            </w:r>
          </w:p>
        </w:tc>
      </w:tr>
      <w:tr w:rsidR="0066476D" w14:paraId="6FD7E1A5" w14:textId="77777777" w:rsidTr="003D2877">
        <w:tc>
          <w:tcPr>
            <w:tcW w:w="2448" w:type="dxa"/>
          </w:tcPr>
          <w:p w14:paraId="652A6F2D" w14:textId="77777777" w:rsidR="0066476D" w:rsidRPr="001C43ED" w:rsidRDefault="0066476D" w:rsidP="003D2877">
            <w:pPr>
              <w:jc w:val="both"/>
            </w:pPr>
            <w:r w:rsidRPr="001C43ED">
              <w:t>Альтернатива 1</w:t>
            </w:r>
          </w:p>
        </w:tc>
        <w:tc>
          <w:tcPr>
            <w:tcW w:w="7151" w:type="dxa"/>
          </w:tcPr>
          <w:p w14:paraId="27F7FDFF" w14:textId="77777777" w:rsidR="0066476D" w:rsidRPr="00FD1D53" w:rsidRDefault="0066476D" w:rsidP="003D2877">
            <w:pPr>
              <w:jc w:val="both"/>
            </w:pPr>
            <w:r>
              <w:rPr>
                <w:b/>
              </w:rPr>
              <w:t xml:space="preserve">Збереження існуючого рівня тарифів. </w:t>
            </w:r>
            <w:r>
              <w:t>Неприйняття відповідного рішення призводить до збільшення рівня збитковості діяльності підприємства в частині надання ритуальних послуг, що відобразиться  на вчасності та якості послуг.</w:t>
            </w:r>
          </w:p>
        </w:tc>
      </w:tr>
      <w:tr w:rsidR="0066476D" w14:paraId="7F0ECA80" w14:textId="77777777" w:rsidTr="003D2877">
        <w:tc>
          <w:tcPr>
            <w:tcW w:w="2448" w:type="dxa"/>
          </w:tcPr>
          <w:p w14:paraId="47F8781E" w14:textId="77777777" w:rsidR="0066476D" w:rsidRPr="001C43ED" w:rsidRDefault="0066476D" w:rsidP="003D2877">
            <w:pPr>
              <w:jc w:val="both"/>
            </w:pPr>
            <w:r w:rsidRPr="001C43ED">
              <w:t xml:space="preserve">Альтернатива </w:t>
            </w:r>
            <w:r>
              <w:t>2</w:t>
            </w:r>
          </w:p>
        </w:tc>
        <w:tc>
          <w:tcPr>
            <w:tcW w:w="7151" w:type="dxa"/>
          </w:tcPr>
          <w:p w14:paraId="2224F66F" w14:textId="77777777" w:rsidR="0066476D" w:rsidRPr="00FD1D53" w:rsidRDefault="0066476D" w:rsidP="003D2877">
            <w:pPr>
              <w:jc w:val="both"/>
            </w:pPr>
            <w:r w:rsidRPr="00FD1D53">
              <w:t xml:space="preserve">Прийняття проекту рішення </w:t>
            </w:r>
            <w:r>
              <w:t>«про затвердження тарифів на необхідний мінімальний перелік окремих видів ритуальних послуг. Цей регуляторний акт спрямований на приведення розмірів тарифів на необхідний мінімальний перелік окремих видів ритуальних послуг до рівня економічно обґрунтованої вартості послуг</w:t>
            </w:r>
          </w:p>
        </w:tc>
      </w:tr>
    </w:tbl>
    <w:p w14:paraId="757B89F5" w14:textId="77777777" w:rsidR="0066476D" w:rsidRPr="004954BE" w:rsidRDefault="0066476D" w:rsidP="0066476D">
      <w:pPr>
        <w:ind w:left="360"/>
        <w:jc w:val="both"/>
        <w:rPr>
          <w:b/>
          <w:sz w:val="10"/>
          <w:szCs w:val="10"/>
        </w:rPr>
      </w:pPr>
    </w:p>
    <w:p w14:paraId="1F6866C7" w14:textId="77777777" w:rsidR="0066476D" w:rsidRDefault="0066476D" w:rsidP="0066476D">
      <w:pPr>
        <w:ind w:left="360"/>
        <w:jc w:val="both"/>
      </w:pPr>
      <w:r w:rsidRPr="004954BE">
        <w:t xml:space="preserve">       2. Оцінка вибраних альтернативних способів досягнення цілей</w:t>
      </w:r>
    </w:p>
    <w:p w14:paraId="033BB3FE" w14:textId="77777777" w:rsidR="0066476D" w:rsidRPr="004954BE" w:rsidRDefault="0066476D" w:rsidP="0066476D">
      <w:pPr>
        <w:ind w:left="360"/>
        <w:jc w:val="both"/>
        <w:rPr>
          <w:sz w:val="10"/>
          <w:szCs w:val="10"/>
        </w:rPr>
      </w:pPr>
    </w:p>
    <w:p w14:paraId="2474C6A1" w14:textId="77777777" w:rsidR="0066476D" w:rsidRDefault="0066476D" w:rsidP="0066476D">
      <w:pPr>
        <w:ind w:left="360"/>
        <w:jc w:val="both"/>
      </w:pPr>
      <w:r>
        <w:rPr>
          <w:b/>
        </w:rPr>
        <w:tab/>
      </w:r>
      <w:r w:rsidRPr="004954BE">
        <w:t>Впровадження в дію даних альтернатив дає можливість отримати наступні вигоди та витрати</w:t>
      </w:r>
      <w:r>
        <w:t>.</w:t>
      </w:r>
    </w:p>
    <w:p w14:paraId="2EF4E08A" w14:textId="77777777" w:rsidR="0066476D" w:rsidRDefault="0066476D" w:rsidP="0066476D">
      <w:pPr>
        <w:ind w:left="360"/>
        <w:jc w:val="both"/>
      </w:pPr>
      <w:r>
        <w:t xml:space="preserve">       </w:t>
      </w:r>
    </w:p>
    <w:p w14:paraId="0356D4A5" w14:textId="77777777" w:rsidR="0066476D" w:rsidRDefault="0066476D" w:rsidP="0066476D">
      <w:pPr>
        <w:ind w:left="360"/>
        <w:jc w:val="both"/>
        <w:rPr>
          <w:i/>
        </w:rPr>
      </w:pPr>
      <w:r>
        <w:t xml:space="preserve">       </w:t>
      </w:r>
      <w:r w:rsidRPr="004954BE">
        <w:rPr>
          <w:i/>
        </w:rPr>
        <w:t>Оцінка впливу на сферу інтересів держави</w:t>
      </w:r>
    </w:p>
    <w:p w14:paraId="35286E7F" w14:textId="77777777" w:rsidR="0066476D" w:rsidRPr="00CF33EA" w:rsidRDefault="0066476D" w:rsidP="0066476D">
      <w:pPr>
        <w:ind w:left="360"/>
        <w:jc w:val="both"/>
        <w:rPr>
          <w:i/>
          <w:sz w:val="10"/>
          <w:szCs w:val="10"/>
        </w:rPr>
      </w:pPr>
    </w:p>
    <w:tbl>
      <w:tblPr>
        <w:tblStyle w:val="TableGrid"/>
        <w:tblW w:w="0" w:type="auto"/>
        <w:tblInd w:w="360" w:type="dxa"/>
        <w:tblLook w:val="01E0" w:firstRow="1" w:lastRow="1" w:firstColumn="1" w:lastColumn="1" w:noHBand="0" w:noVBand="0"/>
      </w:tblPr>
      <w:tblGrid>
        <w:gridCol w:w="2448"/>
        <w:gridCol w:w="3600"/>
        <w:gridCol w:w="3551"/>
      </w:tblGrid>
      <w:tr w:rsidR="0066476D" w14:paraId="345FE468" w14:textId="77777777" w:rsidTr="003D2877">
        <w:tc>
          <w:tcPr>
            <w:tcW w:w="2448" w:type="dxa"/>
          </w:tcPr>
          <w:p w14:paraId="6B23CC96" w14:textId="77777777" w:rsidR="0066476D" w:rsidRPr="004954BE" w:rsidRDefault="0066476D" w:rsidP="003D2877">
            <w:pPr>
              <w:jc w:val="center"/>
            </w:pPr>
            <w:r>
              <w:t>Вид альтернативи</w:t>
            </w:r>
          </w:p>
        </w:tc>
        <w:tc>
          <w:tcPr>
            <w:tcW w:w="3600" w:type="dxa"/>
          </w:tcPr>
          <w:p w14:paraId="576C7726" w14:textId="77777777" w:rsidR="0066476D" w:rsidRPr="004954BE" w:rsidRDefault="0066476D" w:rsidP="003D2877">
            <w:pPr>
              <w:jc w:val="center"/>
            </w:pPr>
            <w:r>
              <w:t>Вигоди</w:t>
            </w:r>
          </w:p>
        </w:tc>
        <w:tc>
          <w:tcPr>
            <w:tcW w:w="3551" w:type="dxa"/>
          </w:tcPr>
          <w:p w14:paraId="7723D2EE" w14:textId="77777777" w:rsidR="0066476D" w:rsidRPr="004954BE" w:rsidRDefault="0066476D" w:rsidP="003D2877">
            <w:pPr>
              <w:jc w:val="center"/>
            </w:pPr>
            <w:r>
              <w:t>Витрати</w:t>
            </w:r>
          </w:p>
        </w:tc>
      </w:tr>
      <w:tr w:rsidR="0066476D" w:rsidRPr="004954BE" w14:paraId="272FA180" w14:textId="77777777" w:rsidTr="003D2877">
        <w:tc>
          <w:tcPr>
            <w:tcW w:w="2448" w:type="dxa"/>
          </w:tcPr>
          <w:p w14:paraId="5DCA2BA4" w14:textId="77777777" w:rsidR="0066476D" w:rsidRPr="004954BE" w:rsidRDefault="0066476D" w:rsidP="003D2877">
            <w:pPr>
              <w:jc w:val="both"/>
            </w:pPr>
            <w:r w:rsidRPr="004954BE">
              <w:t>Альтернатива 1</w:t>
            </w:r>
          </w:p>
        </w:tc>
        <w:tc>
          <w:tcPr>
            <w:tcW w:w="3600" w:type="dxa"/>
          </w:tcPr>
          <w:p w14:paraId="2FF925D2" w14:textId="77777777" w:rsidR="0066476D" w:rsidRPr="004954BE" w:rsidRDefault="0066476D" w:rsidP="003D2877">
            <w:pPr>
              <w:jc w:val="both"/>
            </w:pPr>
            <w:r>
              <w:t>Відсутні</w:t>
            </w:r>
          </w:p>
        </w:tc>
        <w:tc>
          <w:tcPr>
            <w:tcW w:w="3551" w:type="dxa"/>
          </w:tcPr>
          <w:p w14:paraId="042CAAB5" w14:textId="77777777" w:rsidR="0066476D" w:rsidRDefault="0066476D" w:rsidP="003D2877">
            <w:pPr>
              <w:numPr>
                <w:ilvl w:val="0"/>
                <w:numId w:val="3"/>
              </w:numPr>
              <w:jc w:val="both"/>
            </w:pPr>
            <w:r>
              <w:t>Нестабільна та збиткова</w:t>
            </w:r>
          </w:p>
          <w:p w14:paraId="409D84D2" w14:textId="77777777" w:rsidR="0066476D" w:rsidRDefault="0066476D" w:rsidP="003D2877">
            <w:pPr>
              <w:jc w:val="both"/>
            </w:pPr>
            <w:r>
              <w:t>діяльність комунального підприємства, що забезпечує гарантоване надання мінімального переліку окремих видів ритуальних послуг населенню.</w:t>
            </w:r>
          </w:p>
          <w:p w14:paraId="75FD466D" w14:textId="77777777" w:rsidR="0066476D" w:rsidRDefault="0066476D" w:rsidP="003D2877">
            <w:pPr>
              <w:numPr>
                <w:ilvl w:val="0"/>
                <w:numId w:val="3"/>
              </w:numPr>
              <w:jc w:val="both"/>
            </w:pPr>
            <w:r>
              <w:t>Скорочення зайнятості</w:t>
            </w:r>
          </w:p>
          <w:p w14:paraId="1083B125" w14:textId="77777777" w:rsidR="0066476D" w:rsidRPr="004954BE" w:rsidRDefault="0066476D" w:rsidP="003D2877">
            <w:pPr>
              <w:jc w:val="both"/>
            </w:pPr>
            <w:r>
              <w:t>населення та надходження до міського бюджету.</w:t>
            </w:r>
          </w:p>
        </w:tc>
      </w:tr>
      <w:tr w:rsidR="0066476D" w:rsidRPr="004954BE" w14:paraId="4726B689" w14:textId="77777777" w:rsidTr="003D2877">
        <w:tc>
          <w:tcPr>
            <w:tcW w:w="2448" w:type="dxa"/>
          </w:tcPr>
          <w:p w14:paraId="695362CB" w14:textId="77777777" w:rsidR="0066476D" w:rsidRPr="004954BE" w:rsidRDefault="0066476D" w:rsidP="003D2877">
            <w:pPr>
              <w:jc w:val="both"/>
            </w:pPr>
            <w:r w:rsidRPr="004954BE">
              <w:t>Альтернатива 2</w:t>
            </w:r>
          </w:p>
        </w:tc>
        <w:tc>
          <w:tcPr>
            <w:tcW w:w="3600" w:type="dxa"/>
          </w:tcPr>
          <w:p w14:paraId="3F0207E6" w14:textId="77777777" w:rsidR="0066476D" w:rsidRDefault="0066476D" w:rsidP="003D2877">
            <w:pPr>
              <w:numPr>
                <w:ilvl w:val="0"/>
                <w:numId w:val="4"/>
              </w:numPr>
              <w:jc w:val="both"/>
            </w:pPr>
            <w:r>
              <w:t>Реалізація державної</w:t>
            </w:r>
          </w:p>
          <w:p w14:paraId="4BF5C996" w14:textId="77777777" w:rsidR="0066476D" w:rsidRDefault="0066476D" w:rsidP="003D2877">
            <w:pPr>
              <w:jc w:val="both"/>
            </w:pPr>
            <w:r>
              <w:t>політики у сфері дії нормативно-правових актів щодо реалізації Закону України «Про поховання та похоронну справу».</w:t>
            </w:r>
          </w:p>
          <w:p w14:paraId="2F4360D3" w14:textId="77777777" w:rsidR="0066476D" w:rsidRDefault="0066476D" w:rsidP="003D2877">
            <w:pPr>
              <w:numPr>
                <w:ilvl w:val="0"/>
                <w:numId w:val="4"/>
              </w:numPr>
              <w:jc w:val="both"/>
            </w:pPr>
            <w:r>
              <w:t>Забезпечення надання</w:t>
            </w:r>
          </w:p>
          <w:p w14:paraId="46E6569E" w14:textId="77777777" w:rsidR="0066476D" w:rsidRPr="004954BE" w:rsidRDefault="0066476D" w:rsidP="003D2877">
            <w:pPr>
              <w:jc w:val="both"/>
            </w:pPr>
            <w:r>
              <w:t>мінімального переліку окремих видів ритуальних послуг населенню.</w:t>
            </w:r>
          </w:p>
        </w:tc>
        <w:tc>
          <w:tcPr>
            <w:tcW w:w="3551" w:type="dxa"/>
          </w:tcPr>
          <w:p w14:paraId="0D95CEAF" w14:textId="77777777" w:rsidR="0066476D" w:rsidRPr="004954BE" w:rsidRDefault="0066476D" w:rsidP="003D2877">
            <w:pPr>
              <w:jc w:val="both"/>
            </w:pPr>
            <w:r>
              <w:t xml:space="preserve">     Витрати, пов’язані з прийняттям, відправленням,  оприлюдненням регуляторного </w:t>
            </w:r>
            <w:proofErr w:type="spellStart"/>
            <w:r>
              <w:t>акта</w:t>
            </w:r>
            <w:proofErr w:type="spellEnd"/>
            <w:r>
              <w:t>.</w:t>
            </w:r>
          </w:p>
        </w:tc>
      </w:tr>
    </w:tbl>
    <w:p w14:paraId="333590FE" w14:textId="77777777" w:rsidR="0066476D" w:rsidRDefault="0066476D" w:rsidP="0066476D">
      <w:pPr>
        <w:ind w:left="360"/>
        <w:jc w:val="both"/>
        <w:rPr>
          <w:i/>
        </w:rPr>
      </w:pPr>
    </w:p>
    <w:p w14:paraId="29083758" w14:textId="77777777" w:rsidR="0066476D" w:rsidRDefault="0066476D" w:rsidP="0066476D">
      <w:pPr>
        <w:ind w:left="360"/>
        <w:jc w:val="both"/>
        <w:rPr>
          <w:i/>
        </w:rPr>
      </w:pPr>
    </w:p>
    <w:p w14:paraId="3B3FE0FE" w14:textId="77777777" w:rsidR="0066476D" w:rsidRDefault="0066476D" w:rsidP="0066476D">
      <w:pPr>
        <w:ind w:left="360"/>
        <w:jc w:val="both"/>
        <w:rPr>
          <w:i/>
        </w:rPr>
      </w:pPr>
    </w:p>
    <w:p w14:paraId="1CA748B1" w14:textId="77777777" w:rsidR="0066476D" w:rsidRDefault="0066476D" w:rsidP="0066476D">
      <w:pPr>
        <w:ind w:left="360"/>
        <w:jc w:val="both"/>
        <w:rPr>
          <w:i/>
        </w:rPr>
      </w:pPr>
    </w:p>
    <w:p w14:paraId="589C6EAA" w14:textId="77777777" w:rsidR="0066476D" w:rsidRDefault="0066476D" w:rsidP="0066476D">
      <w:pPr>
        <w:ind w:left="360"/>
        <w:jc w:val="both"/>
        <w:rPr>
          <w:i/>
        </w:rPr>
      </w:pPr>
    </w:p>
    <w:p w14:paraId="044E4ABA" w14:textId="77777777" w:rsidR="0066476D" w:rsidRDefault="0066476D" w:rsidP="0066476D">
      <w:pPr>
        <w:ind w:left="360"/>
        <w:jc w:val="both"/>
        <w:rPr>
          <w:i/>
        </w:rPr>
      </w:pPr>
    </w:p>
    <w:p w14:paraId="4A956250" w14:textId="77777777" w:rsidR="0066476D" w:rsidRPr="004954BE" w:rsidRDefault="0066476D" w:rsidP="0066476D">
      <w:pPr>
        <w:ind w:left="360"/>
        <w:jc w:val="both"/>
        <w:rPr>
          <w:i/>
        </w:rPr>
      </w:pPr>
    </w:p>
    <w:p w14:paraId="5FE97F5C" w14:textId="77777777" w:rsidR="0066476D" w:rsidRDefault="0066476D" w:rsidP="0066476D">
      <w:pPr>
        <w:ind w:left="360"/>
        <w:jc w:val="both"/>
        <w:rPr>
          <w:i/>
        </w:rPr>
      </w:pPr>
      <w:r>
        <w:rPr>
          <w:b/>
        </w:rPr>
        <w:tab/>
      </w:r>
      <w:r w:rsidRPr="00CF33EA">
        <w:rPr>
          <w:i/>
        </w:rPr>
        <w:t>Оцінка впливу на сферу інтересів громадян</w:t>
      </w:r>
    </w:p>
    <w:p w14:paraId="1BC7E6A2" w14:textId="77777777" w:rsidR="0066476D" w:rsidRPr="0082731C" w:rsidRDefault="0066476D" w:rsidP="0066476D">
      <w:pPr>
        <w:ind w:left="360"/>
        <w:jc w:val="both"/>
        <w:rPr>
          <w:i/>
          <w:sz w:val="10"/>
          <w:szCs w:val="10"/>
        </w:rPr>
      </w:pPr>
    </w:p>
    <w:tbl>
      <w:tblPr>
        <w:tblStyle w:val="TableGrid"/>
        <w:tblW w:w="0" w:type="auto"/>
        <w:tblInd w:w="360" w:type="dxa"/>
        <w:tblLook w:val="01E0" w:firstRow="1" w:lastRow="1" w:firstColumn="1" w:lastColumn="1" w:noHBand="0" w:noVBand="0"/>
      </w:tblPr>
      <w:tblGrid>
        <w:gridCol w:w="2448"/>
        <w:gridCol w:w="3600"/>
        <w:gridCol w:w="3551"/>
      </w:tblGrid>
      <w:tr w:rsidR="0066476D" w14:paraId="107D8FCE" w14:textId="77777777" w:rsidTr="003D2877">
        <w:tc>
          <w:tcPr>
            <w:tcW w:w="2448" w:type="dxa"/>
          </w:tcPr>
          <w:p w14:paraId="5EE79224" w14:textId="77777777" w:rsidR="0066476D" w:rsidRPr="004954BE" w:rsidRDefault="0066476D" w:rsidP="003D2877">
            <w:pPr>
              <w:jc w:val="center"/>
            </w:pPr>
            <w:r>
              <w:t>Вид альтернативи</w:t>
            </w:r>
          </w:p>
        </w:tc>
        <w:tc>
          <w:tcPr>
            <w:tcW w:w="3600" w:type="dxa"/>
          </w:tcPr>
          <w:p w14:paraId="74DE5F3E" w14:textId="77777777" w:rsidR="0066476D" w:rsidRPr="004954BE" w:rsidRDefault="0066476D" w:rsidP="003D2877">
            <w:pPr>
              <w:jc w:val="center"/>
            </w:pPr>
            <w:r>
              <w:t>Вигоди</w:t>
            </w:r>
          </w:p>
        </w:tc>
        <w:tc>
          <w:tcPr>
            <w:tcW w:w="3551" w:type="dxa"/>
          </w:tcPr>
          <w:p w14:paraId="11F8CA82" w14:textId="77777777" w:rsidR="0066476D" w:rsidRPr="004954BE" w:rsidRDefault="0066476D" w:rsidP="003D2877">
            <w:pPr>
              <w:jc w:val="center"/>
            </w:pPr>
            <w:r>
              <w:t>Витрати</w:t>
            </w:r>
          </w:p>
        </w:tc>
      </w:tr>
      <w:tr w:rsidR="0066476D" w14:paraId="1D287D19" w14:textId="77777777" w:rsidTr="003D2877">
        <w:tc>
          <w:tcPr>
            <w:tcW w:w="2448" w:type="dxa"/>
          </w:tcPr>
          <w:p w14:paraId="3C029C9D" w14:textId="77777777" w:rsidR="0066476D" w:rsidRPr="004954BE" w:rsidRDefault="0066476D" w:rsidP="003D2877">
            <w:pPr>
              <w:jc w:val="both"/>
            </w:pPr>
            <w:r w:rsidRPr="004954BE">
              <w:t>Альтернатива 1</w:t>
            </w:r>
          </w:p>
        </w:tc>
        <w:tc>
          <w:tcPr>
            <w:tcW w:w="3600" w:type="dxa"/>
          </w:tcPr>
          <w:p w14:paraId="4B3F1783" w14:textId="77777777" w:rsidR="0066476D" w:rsidRDefault="0066476D" w:rsidP="003D2877">
            <w:pPr>
              <w:jc w:val="both"/>
            </w:pPr>
            <w:r>
              <w:t xml:space="preserve">     Збереження чинних тарифів.</w:t>
            </w:r>
          </w:p>
        </w:tc>
        <w:tc>
          <w:tcPr>
            <w:tcW w:w="3551" w:type="dxa"/>
          </w:tcPr>
          <w:p w14:paraId="4E75ECAF" w14:textId="77777777" w:rsidR="0066476D" w:rsidRDefault="0066476D" w:rsidP="003D2877">
            <w:pPr>
              <w:numPr>
                <w:ilvl w:val="0"/>
                <w:numId w:val="5"/>
              </w:numPr>
              <w:jc w:val="both"/>
            </w:pPr>
            <w:r>
              <w:t>Відсутність гарантованого</w:t>
            </w:r>
          </w:p>
          <w:p w14:paraId="1D05C53A" w14:textId="77777777" w:rsidR="0066476D" w:rsidRDefault="0066476D" w:rsidP="003D2877">
            <w:pPr>
              <w:jc w:val="both"/>
            </w:pPr>
            <w:r>
              <w:t>своєчасного отримання повного переліку робіт з мінімального переліку окремих видів ритуальних послуг.</w:t>
            </w:r>
          </w:p>
          <w:p w14:paraId="016BF8C6" w14:textId="77777777" w:rsidR="0066476D" w:rsidRDefault="0066476D" w:rsidP="003D2877">
            <w:pPr>
              <w:numPr>
                <w:ilvl w:val="0"/>
                <w:numId w:val="5"/>
              </w:numPr>
              <w:jc w:val="both"/>
            </w:pPr>
            <w:r>
              <w:t>Скорочення робочих</w:t>
            </w:r>
          </w:p>
          <w:p w14:paraId="263367F9" w14:textId="77777777" w:rsidR="0066476D" w:rsidRDefault="0066476D" w:rsidP="003D2877">
            <w:pPr>
              <w:jc w:val="both"/>
            </w:pPr>
            <w:r>
              <w:t>місць.</w:t>
            </w:r>
          </w:p>
        </w:tc>
      </w:tr>
      <w:tr w:rsidR="0066476D" w14:paraId="2C964B46" w14:textId="77777777" w:rsidTr="003D2877">
        <w:tc>
          <w:tcPr>
            <w:tcW w:w="2448" w:type="dxa"/>
          </w:tcPr>
          <w:p w14:paraId="3553EB8E" w14:textId="77777777" w:rsidR="0066476D" w:rsidRPr="004954BE" w:rsidRDefault="0066476D" w:rsidP="003D2877">
            <w:pPr>
              <w:jc w:val="both"/>
            </w:pPr>
            <w:r w:rsidRPr="004954BE">
              <w:t xml:space="preserve">Альтернатива </w:t>
            </w:r>
            <w:r>
              <w:t>2</w:t>
            </w:r>
          </w:p>
        </w:tc>
        <w:tc>
          <w:tcPr>
            <w:tcW w:w="3600" w:type="dxa"/>
          </w:tcPr>
          <w:p w14:paraId="6F808302" w14:textId="77777777" w:rsidR="0066476D" w:rsidRDefault="0066476D" w:rsidP="003D2877">
            <w:pPr>
              <w:numPr>
                <w:ilvl w:val="0"/>
                <w:numId w:val="6"/>
              </w:numPr>
              <w:jc w:val="both"/>
            </w:pPr>
            <w:r>
              <w:t>Гарантоване своєчасне та</w:t>
            </w:r>
          </w:p>
          <w:p w14:paraId="302ED2CF" w14:textId="77777777" w:rsidR="0066476D" w:rsidRDefault="0066476D" w:rsidP="003D2877">
            <w:pPr>
              <w:jc w:val="both"/>
            </w:pPr>
            <w:r>
              <w:t>в повному обсязі отримання мінімального переліку окремих видів ритуальних послуг.</w:t>
            </w:r>
          </w:p>
          <w:p w14:paraId="0F5A20CD" w14:textId="77777777" w:rsidR="0066476D" w:rsidRDefault="0066476D" w:rsidP="003D2877">
            <w:pPr>
              <w:numPr>
                <w:ilvl w:val="0"/>
                <w:numId w:val="6"/>
              </w:numPr>
              <w:jc w:val="both"/>
            </w:pPr>
            <w:r>
              <w:t xml:space="preserve"> Прозорість тарифів у</w:t>
            </w:r>
          </w:p>
          <w:p w14:paraId="0FA90489" w14:textId="77777777" w:rsidR="0066476D" w:rsidRDefault="0066476D" w:rsidP="003D2877">
            <w:pPr>
              <w:jc w:val="both"/>
            </w:pPr>
            <w:r>
              <w:t>частині складу робіт, послуг, включених в перелік окремих видів ритуальних послуг.</w:t>
            </w:r>
          </w:p>
          <w:p w14:paraId="621FA7C0" w14:textId="77777777" w:rsidR="0066476D" w:rsidRDefault="0066476D" w:rsidP="003D2877">
            <w:pPr>
              <w:jc w:val="both"/>
            </w:pPr>
            <w:r>
              <w:t xml:space="preserve">  3. Відсутність необґрунтованого зростання тарифів. </w:t>
            </w:r>
          </w:p>
        </w:tc>
        <w:tc>
          <w:tcPr>
            <w:tcW w:w="3551" w:type="dxa"/>
          </w:tcPr>
          <w:p w14:paraId="7373627D" w14:textId="77777777" w:rsidR="0066476D" w:rsidRDefault="0066476D" w:rsidP="003D2877">
            <w:pPr>
              <w:jc w:val="both"/>
            </w:pPr>
            <w:r>
              <w:t>Витрати на оплату послуг.</w:t>
            </w:r>
          </w:p>
        </w:tc>
      </w:tr>
    </w:tbl>
    <w:p w14:paraId="1CD28BA2" w14:textId="77777777" w:rsidR="0066476D" w:rsidRDefault="0066476D" w:rsidP="0066476D">
      <w:pPr>
        <w:ind w:left="360"/>
        <w:jc w:val="both"/>
        <w:rPr>
          <w:b/>
        </w:rPr>
      </w:pPr>
    </w:p>
    <w:p w14:paraId="5443791A" w14:textId="77777777" w:rsidR="0066476D" w:rsidRPr="0082731C" w:rsidRDefault="0066476D" w:rsidP="0066476D">
      <w:pPr>
        <w:ind w:left="360"/>
        <w:jc w:val="both"/>
        <w:rPr>
          <w:i/>
        </w:rPr>
      </w:pPr>
      <w:r w:rsidRPr="0082731C">
        <w:rPr>
          <w:i/>
        </w:rPr>
        <w:t>Оцінка впливу на сферу інтересів суб’єкту господарювання</w:t>
      </w:r>
    </w:p>
    <w:p w14:paraId="3B89BD93" w14:textId="77777777" w:rsidR="0066476D" w:rsidRPr="0082731C" w:rsidRDefault="0066476D" w:rsidP="0066476D">
      <w:pPr>
        <w:ind w:left="360"/>
        <w:jc w:val="both"/>
        <w:rPr>
          <w:b/>
          <w:sz w:val="10"/>
          <w:szCs w:val="10"/>
        </w:rPr>
      </w:pPr>
    </w:p>
    <w:tbl>
      <w:tblPr>
        <w:tblStyle w:val="TableGrid"/>
        <w:tblW w:w="0" w:type="auto"/>
        <w:tblInd w:w="360" w:type="dxa"/>
        <w:tblLook w:val="01E0" w:firstRow="1" w:lastRow="1" w:firstColumn="1" w:lastColumn="1" w:noHBand="0" w:noVBand="0"/>
      </w:tblPr>
      <w:tblGrid>
        <w:gridCol w:w="2448"/>
        <w:gridCol w:w="3600"/>
        <w:gridCol w:w="3551"/>
      </w:tblGrid>
      <w:tr w:rsidR="0066476D" w14:paraId="5ED22F0D" w14:textId="77777777" w:rsidTr="003D2877">
        <w:tc>
          <w:tcPr>
            <w:tcW w:w="2448" w:type="dxa"/>
          </w:tcPr>
          <w:p w14:paraId="2E3A9628" w14:textId="77777777" w:rsidR="0066476D" w:rsidRPr="004954BE" w:rsidRDefault="0066476D" w:rsidP="003D2877">
            <w:pPr>
              <w:jc w:val="center"/>
            </w:pPr>
            <w:r>
              <w:t>Вид альтернативи</w:t>
            </w:r>
          </w:p>
        </w:tc>
        <w:tc>
          <w:tcPr>
            <w:tcW w:w="3600" w:type="dxa"/>
          </w:tcPr>
          <w:p w14:paraId="189F49A3" w14:textId="77777777" w:rsidR="0066476D" w:rsidRPr="004954BE" w:rsidRDefault="0066476D" w:rsidP="003D2877">
            <w:pPr>
              <w:jc w:val="center"/>
            </w:pPr>
            <w:r>
              <w:t>Вигоди</w:t>
            </w:r>
          </w:p>
        </w:tc>
        <w:tc>
          <w:tcPr>
            <w:tcW w:w="3551" w:type="dxa"/>
          </w:tcPr>
          <w:p w14:paraId="31D8A22C" w14:textId="77777777" w:rsidR="0066476D" w:rsidRPr="004954BE" w:rsidRDefault="0066476D" w:rsidP="003D2877">
            <w:pPr>
              <w:jc w:val="center"/>
            </w:pPr>
            <w:r>
              <w:t>Витрати</w:t>
            </w:r>
          </w:p>
        </w:tc>
      </w:tr>
      <w:tr w:rsidR="0066476D" w14:paraId="11D98A23" w14:textId="77777777" w:rsidTr="003D2877">
        <w:tc>
          <w:tcPr>
            <w:tcW w:w="2448" w:type="dxa"/>
          </w:tcPr>
          <w:p w14:paraId="4063E0FC" w14:textId="77777777" w:rsidR="0066476D" w:rsidRDefault="0066476D" w:rsidP="003D2877">
            <w:pPr>
              <w:jc w:val="center"/>
            </w:pPr>
            <w:r w:rsidRPr="004954BE">
              <w:t>Альтернатива 1</w:t>
            </w:r>
          </w:p>
        </w:tc>
        <w:tc>
          <w:tcPr>
            <w:tcW w:w="3600" w:type="dxa"/>
          </w:tcPr>
          <w:p w14:paraId="52BB0687" w14:textId="77777777" w:rsidR="0066476D" w:rsidRDefault="0066476D" w:rsidP="003D2877">
            <w:r>
              <w:t xml:space="preserve">   Відсутні</w:t>
            </w:r>
          </w:p>
        </w:tc>
        <w:tc>
          <w:tcPr>
            <w:tcW w:w="3551" w:type="dxa"/>
          </w:tcPr>
          <w:p w14:paraId="6BF640DB" w14:textId="77777777" w:rsidR="0066476D" w:rsidRDefault="0066476D" w:rsidP="003D2877">
            <w:pPr>
              <w:numPr>
                <w:ilvl w:val="0"/>
                <w:numId w:val="7"/>
              </w:numPr>
              <w:jc w:val="both"/>
            </w:pPr>
            <w:r>
              <w:t>Збитковість діяльності</w:t>
            </w:r>
          </w:p>
          <w:p w14:paraId="61230D43" w14:textId="77777777" w:rsidR="0066476D" w:rsidRDefault="0066476D" w:rsidP="003D2877">
            <w:pPr>
              <w:jc w:val="both"/>
            </w:pPr>
            <w:r>
              <w:t>підприємства в сфері надання мінімального переліку окремих видів ритуальних послуг населенню.</w:t>
            </w:r>
          </w:p>
          <w:p w14:paraId="18C0BF59" w14:textId="77777777" w:rsidR="0066476D" w:rsidRDefault="0066476D" w:rsidP="003D2877">
            <w:pPr>
              <w:numPr>
                <w:ilvl w:val="0"/>
                <w:numId w:val="7"/>
              </w:numPr>
              <w:jc w:val="both"/>
            </w:pPr>
            <w:r>
              <w:t>Відсутність рівних прав та</w:t>
            </w:r>
          </w:p>
          <w:p w14:paraId="35798469" w14:textId="77777777" w:rsidR="0066476D" w:rsidRDefault="0066476D" w:rsidP="003D2877">
            <w:pPr>
              <w:jc w:val="both"/>
            </w:pPr>
            <w:r>
              <w:t>можливостей для господарської діяльності.</w:t>
            </w:r>
          </w:p>
        </w:tc>
      </w:tr>
      <w:tr w:rsidR="0066476D" w14:paraId="28FADD5D" w14:textId="77777777" w:rsidTr="003D2877">
        <w:tc>
          <w:tcPr>
            <w:tcW w:w="2448" w:type="dxa"/>
          </w:tcPr>
          <w:p w14:paraId="619519F5" w14:textId="77777777" w:rsidR="0066476D" w:rsidRPr="004954BE" w:rsidRDefault="0066476D" w:rsidP="003D2877">
            <w:pPr>
              <w:jc w:val="center"/>
            </w:pPr>
            <w:r w:rsidRPr="004954BE">
              <w:t xml:space="preserve">Альтернатива </w:t>
            </w:r>
            <w:r>
              <w:t>2</w:t>
            </w:r>
          </w:p>
        </w:tc>
        <w:tc>
          <w:tcPr>
            <w:tcW w:w="3600" w:type="dxa"/>
          </w:tcPr>
          <w:p w14:paraId="3011C384" w14:textId="77777777" w:rsidR="0066476D" w:rsidRDefault="0066476D" w:rsidP="003D2877">
            <w:pPr>
              <w:numPr>
                <w:ilvl w:val="0"/>
                <w:numId w:val="8"/>
              </w:numPr>
              <w:jc w:val="both"/>
            </w:pPr>
            <w:r>
              <w:t xml:space="preserve">Забезпечення окупності, </w:t>
            </w:r>
          </w:p>
          <w:p w14:paraId="34866DEE" w14:textId="77777777" w:rsidR="0066476D" w:rsidRDefault="0066476D" w:rsidP="003D2877">
            <w:pPr>
              <w:jc w:val="both"/>
            </w:pPr>
            <w:r>
              <w:t>своєчасності та якості надання мінімального переліку окремих видів ритуальних послуг населенню.</w:t>
            </w:r>
          </w:p>
          <w:p w14:paraId="2434082C" w14:textId="77777777" w:rsidR="0066476D" w:rsidRDefault="0066476D" w:rsidP="003D2877">
            <w:pPr>
              <w:numPr>
                <w:ilvl w:val="0"/>
                <w:numId w:val="8"/>
              </w:numPr>
              <w:jc w:val="both"/>
            </w:pPr>
            <w:r>
              <w:t>Можливість спрямування</w:t>
            </w:r>
          </w:p>
          <w:p w14:paraId="7B2A491C" w14:textId="77777777" w:rsidR="0066476D" w:rsidRDefault="0066476D" w:rsidP="003D2877">
            <w:pPr>
              <w:jc w:val="both"/>
            </w:pPr>
            <w:r>
              <w:t>коштів на розвиток господарської діяльності.</w:t>
            </w:r>
          </w:p>
          <w:p w14:paraId="2043C22B" w14:textId="77777777" w:rsidR="0066476D" w:rsidRDefault="0066476D" w:rsidP="003D2877">
            <w:pPr>
              <w:numPr>
                <w:ilvl w:val="0"/>
                <w:numId w:val="8"/>
              </w:numPr>
              <w:jc w:val="both"/>
            </w:pPr>
            <w:r>
              <w:t>Забезпечення прозорості</w:t>
            </w:r>
          </w:p>
          <w:p w14:paraId="627C9CFF" w14:textId="77777777" w:rsidR="0066476D" w:rsidRDefault="0066476D" w:rsidP="003D2877">
            <w:pPr>
              <w:jc w:val="both"/>
            </w:pPr>
            <w:r>
              <w:t>складу послуг.</w:t>
            </w:r>
          </w:p>
          <w:p w14:paraId="619FD760" w14:textId="77777777" w:rsidR="0066476D" w:rsidRDefault="0066476D" w:rsidP="003D2877">
            <w:pPr>
              <w:numPr>
                <w:ilvl w:val="0"/>
                <w:numId w:val="8"/>
              </w:numPr>
              <w:jc w:val="both"/>
            </w:pPr>
            <w:r>
              <w:t>Отримання рівних прав та</w:t>
            </w:r>
          </w:p>
          <w:p w14:paraId="4C165790" w14:textId="77777777" w:rsidR="0066476D" w:rsidRDefault="0066476D" w:rsidP="003D2877">
            <w:pPr>
              <w:jc w:val="both"/>
            </w:pPr>
            <w:r>
              <w:t>можливостей для господарської діяльності.</w:t>
            </w:r>
          </w:p>
          <w:p w14:paraId="102A196A" w14:textId="77777777" w:rsidR="0066476D" w:rsidRDefault="0066476D" w:rsidP="003D2877">
            <w:pPr>
              <w:numPr>
                <w:ilvl w:val="0"/>
                <w:numId w:val="8"/>
              </w:numPr>
              <w:jc w:val="both"/>
            </w:pPr>
            <w:r>
              <w:lastRenderedPageBreak/>
              <w:t>Забезпечення дотримання</w:t>
            </w:r>
          </w:p>
          <w:p w14:paraId="3A1DB2C7" w14:textId="77777777" w:rsidR="0066476D" w:rsidRDefault="0066476D" w:rsidP="003D2877">
            <w:pPr>
              <w:jc w:val="both"/>
            </w:pPr>
            <w:r>
              <w:t>соціальних гарантій для працівників підприємства відповідно до чинного законодавства.</w:t>
            </w:r>
          </w:p>
        </w:tc>
        <w:tc>
          <w:tcPr>
            <w:tcW w:w="3551" w:type="dxa"/>
          </w:tcPr>
          <w:p w14:paraId="206049C5" w14:textId="77777777" w:rsidR="0066476D" w:rsidRDefault="0066476D" w:rsidP="003D2877">
            <w:pPr>
              <w:jc w:val="both"/>
            </w:pPr>
            <w:r>
              <w:lastRenderedPageBreak/>
              <w:t xml:space="preserve">     Витрати, пов’язані з прийняттям, відправленням,  оприлюдненням регуляторного </w:t>
            </w:r>
            <w:proofErr w:type="spellStart"/>
            <w:r>
              <w:t>акта</w:t>
            </w:r>
            <w:proofErr w:type="spellEnd"/>
            <w:r>
              <w:t>.</w:t>
            </w:r>
          </w:p>
        </w:tc>
      </w:tr>
    </w:tbl>
    <w:p w14:paraId="3B0B079C" w14:textId="77777777" w:rsidR="0066476D" w:rsidRDefault="0066476D" w:rsidP="0066476D">
      <w:pPr>
        <w:ind w:left="360"/>
        <w:jc w:val="both"/>
        <w:rPr>
          <w:b/>
        </w:rPr>
      </w:pPr>
    </w:p>
    <w:p w14:paraId="312FC8CF" w14:textId="77777777" w:rsidR="0066476D" w:rsidRPr="00D473B1" w:rsidRDefault="0066476D" w:rsidP="0066476D">
      <w:pPr>
        <w:ind w:left="360"/>
        <w:jc w:val="both"/>
        <w:rPr>
          <w:b/>
        </w:rPr>
      </w:pPr>
      <w:r>
        <w:rPr>
          <w:i/>
        </w:rPr>
        <w:t xml:space="preserve">  </w:t>
      </w:r>
      <w:r w:rsidRPr="00D473B1">
        <w:rPr>
          <w:b/>
        </w:rPr>
        <w:t>4. Вибір найбільш оптимального альтернативного способу досягнення цілей</w:t>
      </w:r>
    </w:p>
    <w:p w14:paraId="11377E93" w14:textId="77777777" w:rsidR="0066476D" w:rsidRPr="005F4CB9" w:rsidRDefault="0066476D" w:rsidP="0066476D">
      <w:pPr>
        <w:ind w:left="360"/>
        <w:jc w:val="both"/>
        <w:rPr>
          <w:i/>
          <w:sz w:val="10"/>
          <w:szCs w:val="10"/>
        </w:rPr>
      </w:pPr>
    </w:p>
    <w:p w14:paraId="18FF8AEC" w14:textId="77777777" w:rsidR="0066476D" w:rsidRDefault="0066476D" w:rsidP="0066476D">
      <w:pPr>
        <w:ind w:left="360"/>
        <w:jc w:val="both"/>
      </w:pPr>
      <w:r>
        <w:tab/>
        <w:t xml:space="preserve">   Для визначення оптимального альтернативного способу з урахуванням системи бальної оцінки ступеня досягнення визначених цілей.</w:t>
      </w:r>
    </w:p>
    <w:p w14:paraId="1E813815" w14:textId="77777777" w:rsidR="0066476D" w:rsidRDefault="0066476D" w:rsidP="0066476D">
      <w:pPr>
        <w:ind w:left="360"/>
        <w:jc w:val="both"/>
      </w:pPr>
      <w:r>
        <w:tab/>
        <w:t>Вартість балів визначається за чотирибальною системою оцінки ступеня досягнення визначених цілей, де:</w:t>
      </w:r>
    </w:p>
    <w:p w14:paraId="5E5147E2" w14:textId="77777777" w:rsidR="0066476D" w:rsidRDefault="0066476D" w:rsidP="0066476D">
      <w:pPr>
        <w:numPr>
          <w:ilvl w:val="0"/>
          <w:numId w:val="2"/>
        </w:numPr>
        <w:jc w:val="both"/>
      </w:pPr>
      <w:r>
        <w:t xml:space="preserve">4 - цілі прийняття регуляторного </w:t>
      </w:r>
      <w:proofErr w:type="spellStart"/>
      <w:r>
        <w:t>акта</w:t>
      </w:r>
      <w:proofErr w:type="spellEnd"/>
      <w:r>
        <w:t>, які можуть бути досягнуті повною мірою</w:t>
      </w:r>
    </w:p>
    <w:p w14:paraId="6F3F832A" w14:textId="77777777" w:rsidR="0066476D" w:rsidRDefault="0066476D" w:rsidP="0066476D">
      <w:pPr>
        <w:ind w:left="240"/>
        <w:jc w:val="both"/>
      </w:pPr>
      <w:r>
        <w:t>(проблема більше існувати не буде);</w:t>
      </w:r>
    </w:p>
    <w:p w14:paraId="7297C8D5" w14:textId="77777777" w:rsidR="0066476D" w:rsidRDefault="0066476D" w:rsidP="0066476D">
      <w:pPr>
        <w:numPr>
          <w:ilvl w:val="0"/>
          <w:numId w:val="2"/>
        </w:numPr>
        <w:jc w:val="both"/>
      </w:pPr>
      <w:r>
        <w:t xml:space="preserve">3 – цілі прийняття регуляторного </w:t>
      </w:r>
      <w:proofErr w:type="spellStart"/>
      <w:r>
        <w:t>акта</w:t>
      </w:r>
      <w:proofErr w:type="spellEnd"/>
      <w:r>
        <w:t>, які можуть бути досягнуті майже повною мірою</w:t>
      </w:r>
    </w:p>
    <w:p w14:paraId="440086D8" w14:textId="77777777" w:rsidR="0066476D" w:rsidRDefault="0066476D" w:rsidP="0066476D">
      <w:pPr>
        <w:ind w:left="240"/>
        <w:jc w:val="both"/>
      </w:pPr>
      <w:r>
        <w:t>(усі важливі аспекти проблеми існувати не будуть);</w:t>
      </w:r>
    </w:p>
    <w:p w14:paraId="6341E2DC" w14:textId="77777777" w:rsidR="0066476D" w:rsidRDefault="0066476D" w:rsidP="0066476D">
      <w:pPr>
        <w:numPr>
          <w:ilvl w:val="0"/>
          <w:numId w:val="2"/>
        </w:numPr>
        <w:jc w:val="both"/>
      </w:pPr>
      <w:r>
        <w:t xml:space="preserve">2 – цілі прийняття регуляторного </w:t>
      </w:r>
      <w:proofErr w:type="spellStart"/>
      <w:r>
        <w:t>акта</w:t>
      </w:r>
      <w:proofErr w:type="spellEnd"/>
      <w:r>
        <w:t>, які можуть бути досягнуті частково (проблема</w:t>
      </w:r>
    </w:p>
    <w:p w14:paraId="71A8FC51" w14:textId="77777777" w:rsidR="0066476D" w:rsidRDefault="0066476D" w:rsidP="0066476D">
      <w:pPr>
        <w:ind w:left="240"/>
        <w:jc w:val="both"/>
      </w:pPr>
      <w:r>
        <w:t>значно зменшиться, деякі важливі та критичні аспекти проблеми залишаються невирішеними);</w:t>
      </w:r>
    </w:p>
    <w:p w14:paraId="7AE4ACED" w14:textId="77777777" w:rsidR="0066476D" w:rsidRDefault="0066476D" w:rsidP="0066476D">
      <w:pPr>
        <w:numPr>
          <w:ilvl w:val="0"/>
          <w:numId w:val="2"/>
        </w:numPr>
        <w:jc w:val="both"/>
      </w:pPr>
      <w:r>
        <w:t xml:space="preserve">1 – цілі прийняття регуляторного </w:t>
      </w:r>
      <w:proofErr w:type="spellStart"/>
      <w:r>
        <w:t>акта</w:t>
      </w:r>
      <w:proofErr w:type="spellEnd"/>
      <w:r>
        <w:t>, які не можуть бути досягнуто (проблема</w:t>
      </w:r>
    </w:p>
    <w:p w14:paraId="31CB09E4" w14:textId="77777777" w:rsidR="0066476D" w:rsidRDefault="0066476D" w:rsidP="0066476D">
      <w:pPr>
        <w:ind w:left="240"/>
        <w:jc w:val="both"/>
      </w:pPr>
      <w:r>
        <w:t>продовжує існувати).</w:t>
      </w:r>
    </w:p>
    <w:p w14:paraId="55474B2A" w14:textId="77777777" w:rsidR="0066476D" w:rsidRDefault="0066476D" w:rsidP="0066476D">
      <w:pPr>
        <w:ind w:left="240"/>
        <w:jc w:val="both"/>
      </w:pPr>
    </w:p>
    <w:tbl>
      <w:tblPr>
        <w:tblStyle w:val="TableGrid"/>
        <w:tblW w:w="0" w:type="auto"/>
        <w:tblInd w:w="240" w:type="dxa"/>
        <w:tblLook w:val="01E0" w:firstRow="1" w:lastRow="1" w:firstColumn="1" w:lastColumn="1" w:noHBand="0" w:noVBand="0"/>
      </w:tblPr>
      <w:tblGrid>
        <w:gridCol w:w="2928"/>
        <w:gridCol w:w="2880"/>
        <w:gridCol w:w="3911"/>
      </w:tblGrid>
      <w:tr w:rsidR="0066476D" w14:paraId="4FABF671" w14:textId="77777777" w:rsidTr="003D2877">
        <w:tc>
          <w:tcPr>
            <w:tcW w:w="2928" w:type="dxa"/>
          </w:tcPr>
          <w:p w14:paraId="2B1B7435" w14:textId="77777777" w:rsidR="0066476D" w:rsidRDefault="0066476D" w:rsidP="003D2877">
            <w:pPr>
              <w:jc w:val="center"/>
            </w:pPr>
            <w:r>
              <w:t>Рейтинг результативності (досягнення цілей під час вирішення проблеми)</w:t>
            </w:r>
          </w:p>
        </w:tc>
        <w:tc>
          <w:tcPr>
            <w:tcW w:w="2880" w:type="dxa"/>
          </w:tcPr>
          <w:p w14:paraId="5745E8F3" w14:textId="77777777" w:rsidR="0066476D" w:rsidRDefault="0066476D" w:rsidP="003D2877">
            <w:pPr>
              <w:jc w:val="center"/>
            </w:pPr>
            <w:r>
              <w:t>Бал результативності</w:t>
            </w:r>
          </w:p>
          <w:p w14:paraId="300687FF" w14:textId="77777777" w:rsidR="0066476D" w:rsidRDefault="0066476D" w:rsidP="003D2877">
            <w:pPr>
              <w:jc w:val="center"/>
            </w:pPr>
            <w:r>
              <w:t>(за чотирьох бальною системою оцінки)</w:t>
            </w:r>
          </w:p>
        </w:tc>
        <w:tc>
          <w:tcPr>
            <w:tcW w:w="3911" w:type="dxa"/>
          </w:tcPr>
          <w:p w14:paraId="059C13B0" w14:textId="77777777" w:rsidR="0066476D" w:rsidRDefault="0066476D" w:rsidP="003D2877">
            <w:pPr>
              <w:jc w:val="center"/>
            </w:pPr>
            <w:r>
              <w:t xml:space="preserve">Коментарі щодо присвоєння відповідного </w:t>
            </w:r>
            <w:proofErr w:type="spellStart"/>
            <w:r>
              <w:t>бала</w:t>
            </w:r>
            <w:proofErr w:type="spellEnd"/>
          </w:p>
        </w:tc>
      </w:tr>
      <w:tr w:rsidR="0066476D" w14:paraId="706FCEC1" w14:textId="77777777" w:rsidTr="003D2877">
        <w:tc>
          <w:tcPr>
            <w:tcW w:w="2928" w:type="dxa"/>
          </w:tcPr>
          <w:p w14:paraId="131A2D09" w14:textId="77777777" w:rsidR="0066476D" w:rsidRDefault="0066476D" w:rsidP="003D2877">
            <w:pPr>
              <w:jc w:val="both"/>
            </w:pPr>
            <w:r w:rsidRPr="004954BE">
              <w:t>Альтернатива 1</w:t>
            </w:r>
          </w:p>
        </w:tc>
        <w:tc>
          <w:tcPr>
            <w:tcW w:w="2880" w:type="dxa"/>
          </w:tcPr>
          <w:p w14:paraId="6E3E7FE5" w14:textId="77777777" w:rsidR="0066476D" w:rsidRDefault="0066476D" w:rsidP="003D2877">
            <w:pPr>
              <w:jc w:val="center"/>
            </w:pPr>
            <w:r>
              <w:t>1</w:t>
            </w:r>
          </w:p>
        </w:tc>
        <w:tc>
          <w:tcPr>
            <w:tcW w:w="3911" w:type="dxa"/>
          </w:tcPr>
          <w:p w14:paraId="6EBD54EC" w14:textId="77777777" w:rsidR="0066476D" w:rsidRDefault="0066476D" w:rsidP="003D2877">
            <w:pPr>
              <w:jc w:val="both"/>
            </w:pPr>
            <w:r>
              <w:t xml:space="preserve">Неприйняття відповідного регуляторного </w:t>
            </w:r>
            <w:proofErr w:type="spellStart"/>
            <w:r>
              <w:t>акта</w:t>
            </w:r>
            <w:proofErr w:type="spellEnd"/>
            <w:r>
              <w:t xml:space="preserve"> призведе до збитковості та не якісного надання мінімального переліку окремих видів ритуальних послуг населення</w:t>
            </w:r>
          </w:p>
        </w:tc>
      </w:tr>
      <w:tr w:rsidR="0066476D" w14:paraId="764EAF43" w14:textId="77777777" w:rsidTr="003D2877">
        <w:tc>
          <w:tcPr>
            <w:tcW w:w="2928" w:type="dxa"/>
          </w:tcPr>
          <w:p w14:paraId="0C5BA70C" w14:textId="77777777" w:rsidR="0066476D" w:rsidRPr="004954BE" w:rsidRDefault="0066476D" w:rsidP="003D2877">
            <w:pPr>
              <w:jc w:val="both"/>
            </w:pPr>
            <w:r w:rsidRPr="004954BE">
              <w:t xml:space="preserve">Альтернатива </w:t>
            </w:r>
            <w:r>
              <w:t>2</w:t>
            </w:r>
          </w:p>
        </w:tc>
        <w:tc>
          <w:tcPr>
            <w:tcW w:w="2880" w:type="dxa"/>
          </w:tcPr>
          <w:p w14:paraId="33241E40" w14:textId="77777777" w:rsidR="0066476D" w:rsidRDefault="0066476D" w:rsidP="003D2877">
            <w:pPr>
              <w:jc w:val="center"/>
            </w:pPr>
            <w:r>
              <w:t>4</w:t>
            </w:r>
          </w:p>
        </w:tc>
        <w:tc>
          <w:tcPr>
            <w:tcW w:w="3911" w:type="dxa"/>
          </w:tcPr>
          <w:p w14:paraId="0BA93B25" w14:textId="77777777" w:rsidR="0066476D" w:rsidRDefault="0066476D" w:rsidP="003D2877">
            <w:pPr>
              <w:jc w:val="both"/>
            </w:pPr>
            <w:r>
              <w:t xml:space="preserve">Прийняття рішення відповідає вимогам чинного законодавства, приводить розміри тарифів на необхідний мінімальний перелік окремих видів ритуальних послуг до рівня економічно обґрунтованої вартості. </w:t>
            </w:r>
          </w:p>
        </w:tc>
      </w:tr>
    </w:tbl>
    <w:p w14:paraId="43A69FB7" w14:textId="77777777" w:rsidR="0066476D" w:rsidRDefault="0066476D" w:rsidP="0066476D">
      <w:pPr>
        <w:ind w:left="240"/>
        <w:jc w:val="both"/>
      </w:pPr>
    </w:p>
    <w:tbl>
      <w:tblPr>
        <w:tblStyle w:val="TableGrid"/>
        <w:tblW w:w="0" w:type="auto"/>
        <w:tblInd w:w="240" w:type="dxa"/>
        <w:tblLook w:val="01E0" w:firstRow="1" w:lastRow="1" w:firstColumn="1" w:lastColumn="1" w:noHBand="0" w:noVBand="0"/>
      </w:tblPr>
      <w:tblGrid>
        <w:gridCol w:w="2028"/>
        <w:gridCol w:w="3060"/>
        <w:gridCol w:w="2208"/>
        <w:gridCol w:w="2423"/>
      </w:tblGrid>
      <w:tr w:rsidR="0066476D" w14:paraId="35AA1F4D" w14:textId="77777777" w:rsidTr="003D2877">
        <w:tc>
          <w:tcPr>
            <w:tcW w:w="2028" w:type="dxa"/>
          </w:tcPr>
          <w:p w14:paraId="6A4A0B6A" w14:textId="77777777" w:rsidR="0066476D" w:rsidRDefault="0066476D" w:rsidP="003D2877">
            <w:pPr>
              <w:jc w:val="center"/>
            </w:pPr>
            <w:r>
              <w:t>Рейтинг результативності</w:t>
            </w:r>
          </w:p>
        </w:tc>
        <w:tc>
          <w:tcPr>
            <w:tcW w:w="3060" w:type="dxa"/>
          </w:tcPr>
          <w:p w14:paraId="35A4DCD7" w14:textId="77777777" w:rsidR="0066476D" w:rsidRDefault="0066476D" w:rsidP="003D2877">
            <w:pPr>
              <w:jc w:val="center"/>
            </w:pPr>
            <w:r>
              <w:t>Вигоди (підсумок)</w:t>
            </w:r>
          </w:p>
        </w:tc>
        <w:tc>
          <w:tcPr>
            <w:tcW w:w="2208" w:type="dxa"/>
          </w:tcPr>
          <w:p w14:paraId="10B8FD33" w14:textId="77777777" w:rsidR="0066476D" w:rsidRDefault="0066476D" w:rsidP="003D2877">
            <w:pPr>
              <w:jc w:val="center"/>
            </w:pPr>
            <w:r>
              <w:t>Витрати</w:t>
            </w:r>
          </w:p>
          <w:p w14:paraId="23D63FE2" w14:textId="77777777" w:rsidR="0066476D" w:rsidRDefault="0066476D" w:rsidP="003D2877">
            <w:pPr>
              <w:jc w:val="center"/>
            </w:pPr>
            <w:r>
              <w:t>(підсумок)</w:t>
            </w:r>
          </w:p>
        </w:tc>
        <w:tc>
          <w:tcPr>
            <w:tcW w:w="2423" w:type="dxa"/>
          </w:tcPr>
          <w:p w14:paraId="6D5D76F9" w14:textId="77777777" w:rsidR="0066476D" w:rsidRDefault="0066476D" w:rsidP="003D2877">
            <w:pPr>
              <w:jc w:val="center"/>
            </w:pPr>
            <w:r>
              <w:t>Обґрунтування відповідного місця альтернативи у рейтингу</w:t>
            </w:r>
          </w:p>
        </w:tc>
      </w:tr>
      <w:tr w:rsidR="0066476D" w14:paraId="396C3E53" w14:textId="77777777" w:rsidTr="003D2877">
        <w:tc>
          <w:tcPr>
            <w:tcW w:w="2028" w:type="dxa"/>
          </w:tcPr>
          <w:p w14:paraId="5A7F95BA" w14:textId="77777777" w:rsidR="0066476D" w:rsidRDefault="0066476D" w:rsidP="003D2877">
            <w:pPr>
              <w:jc w:val="both"/>
            </w:pPr>
            <w:r w:rsidRPr="004954BE">
              <w:t>Альтернатива 1</w:t>
            </w:r>
          </w:p>
        </w:tc>
        <w:tc>
          <w:tcPr>
            <w:tcW w:w="3060" w:type="dxa"/>
          </w:tcPr>
          <w:p w14:paraId="6B9FE8B8" w14:textId="77777777" w:rsidR="0066476D" w:rsidRDefault="0066476D" w:rsidP="003D2877">
            <w:pPr>
              <w:jc w:val="both"/>
            </w:pPr>
            <w:r>
              <w:t xml:space="preserve">Продовження дії тарифів на поховання, прийнятих рішенням у 2013 році, відсутність витрат пов’язаних з розробкою, прийняттям, оприлюдненням регуляторного </w:t>
            </w:r>
            <w:proofErr w:type="spellStart"/>
            <w:r>
              <w:t>акта</w:t>
            </w:r>
            <w:proofErr w:type="spellEnd"/>
            <w:r>
              <w:t>.</w:t>
            </w:r>
          </w:p>
        </w:tc>
        <w:tc>
          <w:tcPr>
            <w:tcW w:w="2208" w:type="dxa"/>
          </w:tcPr>
          <w:p w14:paraId="70AFC71D" w14:textId="77777777" w:rsidR="0066476D" w:rsidRDefault="0066476D" w:rsidP="003D2877">
            <w:pPr>
              <w:jc w:val="both"/>
            </w:pPr>
            <w:r>
              <w:t>Діючі тарифи на послуги не відповідають рівню економічно обґрунтованим розмірам та не покривають витрат підприємства їх надання.</w:t>
            </w:r>
          </w:p>
        </w:tc>
        <w:tc>
          <w:tcPr>
            <w:tcW w:w="2423" w:type="dxa"/>
          </w:tcPr>
          <w:p w14:paraId="22768F82" w14:textId="77777777" w:rsidR="0066476D" w:rsidRDefault="0066476D" w:rsidP="003D2877">
            <w:pPr>
              <w:spacing w:line="300" w:lineRule="atLeast"/>
              <w:jc w:val="both"/>
              <w:rPr>
                <w:rFonts w:ascii="Helvetica" w:hAnsi="Helvetica" w:cs="Helvetica"/>
                <w:color w:val="444444"/>
                <w:sz w:val="23"/>
                <w:szCs w:val="23"/>
              </w:rPr>
            </w:pPr>
            <w:r>
              <w:t xml:space="preserve">Цілі прийняття регуляторного </w:t>
            </w:r>
            <w:proofErr w:type="spellStart"/>
            <w:r>
              <w:t>акта</w:t>
            </w:r>
            <w:proofErr w:type="spellEnd"/>
            <w:r>
              <w:t xml:space="preserve"> не можуть бути досягнуті (продовжує існувати)</w:t>
            </w:r>
          </w:p>
        </w:tc>
      </w:tr>
      <w:tr w:rsidR="0066476D" w14:paraId="528B1EEA" w14:textId="77777777" w:rsidTr="003D2877">
        <w:tc>
          <w:tcPr>
            <w:tcW w:w="2028" w:type="dxa"/>
          </w:tcPr>
          <w:p w14:paraId="089FD6AA" w14:textId="77777777" w:rsidR="0066476D" w:rsidRDefault="0066476D" w:rsidP="003D2877">
            <w:pPr>
              <w:jc w:val="both"/>
            </w:pPr>
            <w:r w:rsidRPr="004954BE">
              <w:lastRenderedPageBreak/>
              <w:t xml:space="preserve">Альтернатива </w:t>
            </w:r>
            <w:r>
              <w:t>2</w:t>
            </w:r>
          </w:p>
        </w:tc>
        <w:tc>
          <w:tcPr>
            <w:tcW w:w="3060" w:type="dxa"/>
          </w:tcPr>
          <w:p w14:paraId="76FAE96F" w14:textId="77777777" w:rsidR="0066476D" w:rsidRDefault="0066476D" w:rsidP="003D2877">
            <w:pPr>
              <w:jc w:val="both"/>
            </w:pPr>
            <w:r>
              <w:t xml:space="preserve">Прийняття регуляторного </w:t>
            </w:r>
            <w:proofErr w:type="spellStart"/>
            <w:r>
              <w:t>акта</w:t>
            </w:r>
            <w:proofErr w:type="spellEnd"/>
            <w:r>
              <w:t xml:space="preserve"> впливає на:</w:t>
            </w:r>
          </w:p>
          <w:p w14:paraId="12DA3193" w14:textId="77777777" w:rsidR="0066476D" w:rsidRDefault="0066476D" w:rsidP="003D2877">
            <w:pPr>
              <w:jc w:val="both"/>
            </w:pPr>
            <w:r>
              <w:t xml:space="preserve"> - забезпечення окупності, своєчасності та якості надання мінімального переліку окремих видів ритуальних послуг населенню;</w:t>
            </w:r>
          </w:p>
          <w:p w14:paraId="57AC9DC2" w14:textId="77777777" w:rsidR="0066476D" w:rsidRDefault="0066476D" w:rsidP="003D2877">
            <w:pPr>
              <w:numPr>
                <w:ilvl w:val="0"/>
                <w:numId w:val="2"/>
              </w:numPr>
              <w:jc w:val="both"/>
            </w:pPr>
            <w:r>
              <w:t>можливість</w:t>
            </w:r>
          </w:p>
          <w:p w14:paraId="142CEEA6" w14:textId="77777777" w:rsidR="0066476D" w:rsidRDefault="0066476D" w:rsidP="003D2877">
            <w:pPr>
              <w:jc w:val="both"/>
            </w:pPr>
            <w:r>
              <w:t>спрямування коштів на розвиток господарської діяльності;</w:t>
            </w:r>
          </w:p>
          <w:p w14:paraId="1ACC219C" w14:textId="77777777" w:rsidR="0066476D" w:rsidRDefault="0066476D" w:rsidP="003D2877">
            <w:pPr>
              <w:numPr>
                <w:ilvl w:val="0"/>
                <w:numId w:val="2"/>
              </w:numPr>
              <w:jc w:val="both"/>
            </w:pPr>
            <w:r>
              <w:t>забезпечення</w:t>
            </w:r>
          </w:p>
          <w:p w14:paraId="24322634" w14:textId="77777777" w:rsidR="0066476D" w:rsidRDefault="0066476D" w:rsidP="003D2877">
            <w:pPr>
              <w:jc w:val="both"/>
            </w:pPr>
            <w:r>
              <w:t>прозорості складу послуг;</w:t>
            </w:r>
          </w:p>
          <w:p w14:paraId="32F06C23" w14:textId="77777777" w:rsidR="0066476D" w:rsidRDefault="0066476D" w:rsidP="003D2877">
            <w:pPr>
              <w:numPr>
                <w:ilvl w:val="0"/>
                <w:numId w:val="2"/>
              </w:numPr>
              <w:jc w:val="both"/>
            </w:pPr>
            <w:r>
              <w:t>отримання</w:t>
            </w:r>
          </w:p>
          <w:p w14:paraId="4C714CFC" w14:textId="77777777" w:rsidR="0066476D" w:rsidRDefault="0066476D" w:rsidP="003D2877">
            <w:pPr>
              <w:jc w:val="both"/>
            </w:pPr>
            <w:r>
              <w:t>рівних прав та можливостей для господарської діяльності;</w:t>
            </w:r>
          </w:p>
          <w:p w14:paraId="31A34A52" w14:textId="77777777" w:rsidR="0066476D" w:rsidRDefault="0066476D" w:rsidP="003D2877">
            <w:pPr>
              <w:numPr>
                <w:ilvl w:val="0"/>
                <w:numId w:val="2"/>
              </w:numPr>
              <w:jc w:val="both"/>
            </w:pPr>
            <w:r>
              <w:t>забезпечення</w:t>
            </w:r>
          </w:p>
          <w:p w14:paraId="6066FF68" w14:textId="77777777" w:rsidR="0066476D" w:rsidRDefault="0066476D" w:rsidP="003D2877">
            <w:pPr>
              <w:jc w:val="both"/>
            </w:pPr>
            <w:r>
              <w:t>дотримання соціальних гарантій для працівників відповідно до чинного законодавства.</w:t>
            </w:r>
          </w:p>
        </w:tc>
        <w:tc>
          <w:tcPr>
            <w:tcW w:w="2208" w:type="dxa"/>
          </w:tcPr>
          <w:p w14:paraId="6A612DE4" w14:textId="77777777" w:rsidR="0066476D" w:rsidRDefault="0066476D" w:rsidP="003D2877">
            <w:pPr>
              <w:jc w:val="both"/>
            </w:pPr>
            <w:r>
              <w:t xml:space="preserve">Оприлюдненням регуляторного </w:t>
            </w:r>
            <w:proofErr w:type="spellStart"/>
            <w:r>
              <w:t>акта</w:t>
            </w:r>
            <w:proofErr w:type="spellEnd"/>
            <w:r>
              <w:t>.</w:t>
            </w:r>
          </w:p>
        </w:tc>
        <w:tc>
          <w:tcPr>
            <w:tcW w:w="2423" w:type="dxa"/>
          </w:tcPr>
          <w:p w14:paraId="2D2A805C" w14:textId="77777777" w:rsidR="0066476D" w:rsidRDefault="0066476D" w:rsidP="003D2877">
            <w:pPr>
              <w:spacing w:line="300" w:lineRule="atLeast"/>
              <w:jc w:val="both"/>
            </w:pPr>
            <w:r>
              <w:t xml:space="preserve">Цілі прийняття регуляторного </w:t>
            </w:r>
            <w:proofErr w:type="spellStart"/>
            <w:r>
              <w:t>акта</w:t>
            </w:r>
            <w:proofErr w:type="spellEnd"/>
            <w:r>
              <w:t xml:space="preserve"> будуть досягнуто повною мірою.</w:t>
            </w:r>
          </w:p>
        </w:tc>
      </w:tr>
    </w:tbl>
    <w:p w14:paraId="3E2DDA83" w14:textId="77777777" w:rsidR="0066476D" w:rsidRDefault="0066476D" w:rsidP="0066476D">
      <w:pPr>
        <w:ind w:left="240"/>
        <w:jc w:val="both"/>
      </w:pPr>
    </w:p>
    <w:tbl>
      <w:tblPr>
        <w:tblStyle w:val="TableGrid"/>
        <w:tblW w:w="0" w:type="auto"/>
        <w:tblInd w:w="240" w:type="dxa"/>
        <w:tblLook w:val="01E0" w:firstRow="1" w:lastRow="1" w:firstColumn="1" w:lastColumn="1" w:noHBand="0" w:noVBand="0"/>
      </w:tblPr>
      <w:tblGrid>
        <w:gridCol w:w="2208"/>
        <w:gridCol w:w="3960"/>
        <w:gridCol w:w="3551"/>
      </w:tblGrid>
      <w:tr w:rsidR="0066476D" w14:paraId="1EFDFC5F" w14:textId="77777777" w:rsidTr="003D2877">
        <w:tc>
          <w:tcPr>
            <w:tcW w:w="2208" w:type="dxa"/>
          </w:tcPr>
          <w:p w14:paraId="0024B5D3" w14:textId="77777777" w:rsidR="0066476D" w:rsidRDefault="0066476D" w:rsidP="003D2877">
            <w:pPr>
              <w:jc w:val="center"/>
            </w:pPr>
            <w:r>
              <w:t>Рейтинг</w:t>
            </w:r>
          </w:p>
        </w:tc>
        <w:tc>
          <w:tcPr>
            <w:tcW w:w="3960" w:type="dxa"/>
          </w:tcPr>
          <w:p w14:paraId="1B601827" w14:textId="77777777" w:rsidR="0066476D" w:rsidRDefault="0066476D" w:rsidP="003D2877">
            <w:pPr>
              <w:jc w:val="center"/>
            </w:pPr>
            <w:r>
              <w:t>Аргументи щодо переваги обраної альтернативи/причини відмови від альтернативи</w:t>
            </w:r>
          </w:p>
        </w:tc>
        <w:tc>
          <w:tcPr>
            <w:tcW w:w="3551" w:type="dxa"/>
          </w:tcPr>
          <w:p w14:paraId="508B41FF" w14:textId="77777777" w:rsidR="0066476D" w:rsidRDefault="0066476D" w:rsidP="003D2877">
            <w:pPr>
              <w:jc w:val="center"/>
            </w:pPr>
            <w:r>
              <w:t xml:space="preserve">Оцінка ризику зовнішніх чинників на дію </w:t>
            </w:r>
          </w:p>
          <w:p w14:paraId="096FB3D9" w14:textId="77777777" w:rsidR="0066476D" w:rsidRDefault="0066476D" w:rsidP="003D2877">
            <w:pPr>
              <w:jc w:val="center"/>
            </w:pPr>
            <w:r>
              <w:t xml:space="preserve">запропонованого </w:t>
            </w:r>
          </w:p>
          <w:p w14:paraId="1D534800" w14:textId="77777777" w:rsidR="0066476D" w:rsidRDefault="0066476D" w:rsidP="003D2877">
            <w:pPr>
              <w:jc w:val="center"/>
            </w:pPr>
            <w:r>
              <w:t xml:space="preserve">регуляторного </w:t>
            </w:r>
            <w:proofErr w:type="spellStart"/>
            <w:r>
              <w:t>акта</w:t>
            </w:r>
            <w:proofErr w:type="spellEnd"/>
          </w:p>
        </w:tc>
      </w:tr>
      <w:tr w:rsidR="0066476D" w14:paraId="0AF3E64B" w14:textId="77777777" w:rsidTr="003D2877">
        <w:tc>
          <w:tcPr>
            <w:tcW w:w="2208" w:type="dxa"/>
          </w:tcPr>
          <w:p w14:paraId="10C79039" w14:textId="77777777" w:rsidR="0066476D" w:rsidRDefault="0066476D" w:rsidP="003D2877">
            <w:pPr>
              <w:jc w:val="both"/>
            </w:pPr>
            <w:r>
              <w:t>Альтернатива 1</w:t>
            </w:r>
          </w:p>
        </w:tc>
        <w:tc>
          <w:tcPr>
            <w:tcW w:w="3960" w:type="dxa"/>
          </w:tcPr>
          <w:p w14:paraId="52F487AA" w14:textId="77777777" w:rsidR="0066476D" w:rsidRDefault="0066476D" w:rsidP="003D2877">
            <w:pPr>
              <w:jc w:val="both"/>
            </w:pPr>
            <w:r>
              <w:t xml:space="preserve">     Невідповідність тарифів на послуги рівню вимог чинного законодавства щодо забезпечення розміру заробітної плати, діючих цін на матеріальні ресурси та інших складових собівартості.</w:t>
            </w:r>
          </w:p>
        </w:tc>
        <w:tc>
          <w:tcPr>
            <w:tcW w:w="3551" w:type="dxa"/>
          </w:tcPr>
          <w:p w14:paraId="0A055E00" w14:textId="77777777" w:rsidR="0066476D" w:rsidRDefault="0066476D" w:rsidP="003D2877">
            <w:pPr>
              <w:jc w:val="both"/>
            </w:pPr>
            <w:r>
              <w:t xml:space="preserve">     Подальше підвищення розміру розрахункових показників собівартості послуг унеможливить спроможності підприємства надавати послуги </w:t>
            </w:r>
          </w:p>
        </w:tc>
      </w:tr>
      <w:tr w:rsidR="0066476D" w14:paraId="652BDABE" w14:textId="77777777" w:rsidTr="003D2877">
        <w:tc>
          <w:tcPr>
            <w:tcW w:w="2208" w:type="dxa"/>
          </w:tcPr>
          <w:p w14:paraId="49D678E1" w14:textId="77777777" w:rsidR="0066476D" w:rsidRDefault="0066476D" w:rsidP="003D2877">
            <w:pPr>
              <w:jc w:val="both"/>
            </w:pPr>
            <w:r>
              <w:t>Альтернатива 2</w:t>
            </w:r>
          </w:p>
        </w:tc>
        <w:tc>
          <w:tcPr>
            <w:tcW w:w="3960" w:type="dxa"/>
          </w:tcPr>
          <w:p w14:paraId="43E81AF7" w14:textId="77777777" w:rsidR="0066476D" w:rsidRDefault="0066476D" w:rsidP="003D2877">
            <w:pPr>
              <w:numPr>
                <w:ilvl w:val="0"/>
                <w:numId w:val="9"/>
              </w:numPr>
              <w:jc w:val="both"/>
            </w:pPr>
            <w:r>
              <w:t>Приведення тарифів у</w:t>
            </w:r>
          </w:p>
          <w:p w14:paraId="3A5F5DA8" w14:textId="77777777" w:rsidR="0066476D" w:rsidRDefault="0066476D" w:rsidP="003D2877">
            <w:pPr>
              <w:jc w:val="both"/>
            </w:pPr>
            <w:r>
              <w:t>відповідність до рівня економічно обґрунтованих розмірів.</w:t>
            </w:r>
          </w:p>
          <w:p w14:paraId="7798CD65" w14:textId="77777777" w:rsidR="0066476D" w:rsidRDefault="0066476D" w:rsidP="003D2877">
            <w:pPr>
              <w:numPr>
                <w:ilvl w:val="0"/>
                <w:numId w:val="9"/>
              </w:numPr>
              <w:jc w:val="both"/>
            </w:pPr>
            <w:r>
              <w:t>Забезпечення гарантованого</w:t>
            </w:r>
          </w:p>
          <w:p w14:paraId="3C0C93F4" w14:textId="77777777" w:rsidR="0066476D" w:rsidRDefault="0066476D" w:rsidP="003D2877">
            <w:pPr>
              <w:jc w:val="both"/>
            </w:pPr>
            <w:r>
              <w:t>своєчасного і якісного надання послуг, прозорості складу робіт.</w:t>
            </w:r>
          </w:p>
          <w:p w14:paraId="4994BFA5" w14:textId="77777777" w:rsidR="0066476D" w:rsidRDefault="0066476D" w:rsidP="003D2877">
            <w:pPr>
              <w:numPr>
                <w:ilvl w:val="0"/>
                <w:numId w:val="9"/>
              </w:numPr>
              <w:jc w:val="both"/>
            </w:pPr>
            <w:r>
              <w:t>Безперебійна діяльність</w:t>
            </w:r>
          </w:p>
          <w:p w14:paraId="6A890C22" w14:textId="77777777" w:rsidR="0066476D" w:rsidRDefault="0066476D" w:rsidP="003D2877">
            <w:pPr>
              <w:jc w:val="both"/>
            </w:pPr>
            <w:r>
              <w:t>підприємства в сфері надання послуг.</w:t>
            </w:r>
          </w:p>
        </w:tc>
        <w:tc>
          <w:tcPr>
            <w:tcW w:w="3551" w:type="dxa"/>
          </w:tcPr>
          <w:p w14:paraId="26A36379" w14:textId="77777777" w:rsidR="0066476D" w:rsidRDefault="0066476D" w:rsidP="003D2877">
            <w:pPr>
              <w:jc w:val="both"/>
            </w:pPr>
            <w:r>
              <w:t xml:space="preserve">    Негативний вплив може спричинити значне різке підвищення розміру розрахункових показників собівартості послуг.</w:t>
            </w:r>
          </w:p>
        </w:tc>
      </w:tr>
    </w:tbl>
    <w:p w14:paraId="5E73974B" w14:textId="77777777" w:rsidR="0066476D" w:rsidRPr="00FF434E" w:rsidRDefault="0066476D" w:rsidP="0066476D">
      <w:pPr>
        <w:ind w:left="240"/>
        <w:jc w:val="both"/>
        <w:rPr>
          <w:sz w:val="10"/>
          <w:szCs w:val="10"/>
        </w:rPr>
      </w:pPr>
    </w:p>
    <w:p w14:paraId="13800425" w14:textId="77777777" w:rsidR="0066476D" w:rsidRDefault="0066476D" w:rsidP="0066476D">
      <w:pPr>
        <w:jc w:val="both"/>
        <w:rPr>
          <w:b/>
        </w:rPr>
      </w:pPr>
      <w:r>
        <w:rPr>
          <w:b/>
        </w:rPr>
        <w:t xml:space="preserve">   5.    Механізм, який забезпечить розв’язання визначеної проблеми.</w:t>
      </w:r>
    </w:p>
    <w:p w14:paraId="312BC87F" w14:textId="77777777" w:rsidR="0066476D" w:rsidRPr="008C6C22" w:rsidRDefault="0066476D" w:rsidP="0066476D">
      <w:pPr>
        <w:jc w:val="both"/>
        <w:rPr>
          <w:b/>
          <w:sz w:val="10"/>
          <w:szCs w:val="10"/>
        </w:rPr>
      </w:pPr>
    </w:p>
    <w:p w14:paraId="77B78DCB" w14:textId="77777777" w:rsidR="0066476D" w:rsidRDefault="0066476D" w:rsidP="0066476D">
      <w:pPr>
        <w:ind w:left="660"/>
        <w:jc w:val="both"/>
      </w:pPr>
      <w:r>
        <w:t>Механізм вирішення визначеної проблеми: відповідно до статті 10 Закону України</w:t>
      </w:r>
    </w:p>
    <w:p w14:paraId="57C7A6E5" w14:textId="77777777" w:rsidR="0066476D" w:rsidRDefault="0066476D" w:rsidP="0066476D">
      <w:pPr>
        <w:jc w:val="both"/>
        <w:rPr>
          <w:b/>
        </w:rPr>
      </w:pPr>
      <w:r>
        <w:t>«Про поховання та похоронну справу», керуючись пп.2  п. а ст.. 38 Закону України «Про місцеве самоврядування в Україні», затвердити та вести в дію тарифи на необхідний мінімальний перелік окремих видів ритуальних послуг.</w:t>
      </w:r>
      <w:r>
        <w:rPr>
          <w:b/>
        </w:rPr>
        <w:t xml:space="preserve"> </w:t>
      </w:r>
    </w:p>
    <w:p w14:paraId="215A8CAA" w14:textId="77777777" w:rsidR="0066476D" w:rsidRPr="00FF434E" w:rsidRDefault="0066476D" w:rsidP="0066476D">
      <w:pPr>
        <w:jc w:val="both"/>
        <w:rPr>
          <w:b/>
          <w:sz w:val="10"/>
          <w:szCs w:val="10"/>
        </w:rPr>
      </w:pPr>
    </w:p>
    <w:p w14:paraId="29D317B2" w14:textId="77777777" w:rsidR="0066476D" w:rsidRDefault="0066476D" w:rsidP="0066476D">
      <w:pPr>
        <w:numPr>
          <w:ilvl w:val="0"/>
          <w:numId w:val="8"/>
        </w:numPr>
        <w:jc w:val="both"/>
        <w:rPr>
          <w:b/>
        </w:rPr>
      </w:pPr>
      <w:r>
        <w:rPr>
          <w:b/>
        </w:rPr>
        <w:t xml:space="preserve">Оцінка виконання вимог регуляторного </w:t>
      </w:r>
      <w:proofErr w:type="spellStart"/>
      <w:r>
        <w:rPr>
          <w:b/>
        </w:rPr>
        <w:t>акта</w:t>
      </w:r>
      <w:proofErr w:type="spellEnd"/>
      <w:r>
        <w:rPr>
          <w:b/>
        </w:rPr>
        <w:t xml:space="preserve">. </w:t>
      </w:r>
    </w:p>
    <w:p w14:paraId="2240DB83" w14:textId="77777777" w:rsidR="0066476D" w:rsidRPr="008C4EBF" w:rsidRDefault="0066476D" w:rsidP="0066476D">
      <w:pPr>
        <w:ind w:left="180"/>
        <w:jc w:val="both"/>
        <w:rPr>
          <w:b/>
          <w:sz w:val="10"/>
          <w:szCs w:val="10"/>
        </w:rPr>
      </w:pPr>
    </w:p>
    <w:p w14:paraId="2D31EDE2" w14:textId="77777777" w:rsidR="0066476D" w:rsidRDefault="0066476D" w:rsidP="0066476D">
      <w:pPr>
        <w:ind w:left="540"/>
        <w:jc w:val="both"/>
      </w:pPr>
      <w:r w:rsidRPr="008C4EBF">
        <w:lastRenderedPageBreak/>
        <w:t>Прийняття</w:t>
      </w:r>
      <w:r>
        <w:t xml:space="preserve"> регуляторного </w:t>
      </w:r>
      <w:proofErr w:type="spellStart"/>
      <w:r>
        <w:t>акта</w:t>
      </w:r>
      <w:proofErr w:type="spellEnd"/>
      <w:r>
        <w:t xml:space="preserve"> дасть можливість виконавцю послуг надавати</w:t>
      </w:r>
    </w:p>
    <w:p w14:paraId="6F7FC0E7" w14:textId="77777777" w:rsidR="0066476D" w:rsidRDefault="0066476D" w:rsidP="0066476D">
      <w:pPr>
        <w:jc w:val="both"/>
      </w:pPr>
      <w:r>
        <w:t>затверджений склад робіт з виконання необхідного мінімального переліку окремих видів ритуальних послуг за тарифами, що відповідають економічно обґрунтованій вартості послуг, окупність надання послуг, стабільної та беззбиткової діяльності комунального підприємства, гарантування надання своєчасних послуг населенню, забезпечення прозорості складу тарифу на послуги.</w:t>
      </w:r>
    </w:p>
    <w:p w14:paraId="13185AE7" w14:textId="77777777" w:rsidR="0066476D" w:rsidRPr="008C4EBF" w:rsidRDefault="0066476D" w:rsidP="0066476D">
      <w:pPr>
        <w:jc w:val="both"/>
        <w:rPr>
          <w:sz w:val="10"/>
          <w:szCs w:val="10"/>
        </w:rPr>
      </w:pPr>
    </w:p>
    <w:p w14:paraId="2864027F" w14:textId="77777777" w:rsidR="0066476D" w:rsidRDefault="0066476D" w:rsidP="0066476D">
      <w:pPr>
        <w:jc w:val="both"/>
      </w:pPr>
      <w:r>
        <w:t xml:space="preserve">         Реалізація пропонованого регулювання буде здійснюватися шляхом впровадження наступних заходів:</w:t>
      </w:r>
    </w:p>
    <w:p w14:paraId="1FC08CEB" w14:textId="77777777" w:rsidR="0066476D" w:rsidRDefault="0066476D" w:rsidP="0066476D">
      <w:pPr>
        <w:numPr>
          <w:ilvl w:val="0"/>
          <w:numId w:val="2"/>
        </w:numPr>
        <w:jc w:val="both"/>
      </w:pPr>
      <w:r>
        <w:t>економічно-фінансові – пропоновані розміри тарифів на послуги забезпечать надання</w:t>
      </w:r>
    </w:p>
    <w:p w14:paraId="38EAD17D" w14:textId="77777777" w:rsidR="0066476D" w:rsidRDefault="0066476D" w:rsidP="0066476D">
      <w:pPr>
        <w:jc w:val="both"/>
      </w:pPr>
      <w:r>
        <w:t>послуг за економічно обґрунтованими цінами, що покривають витрати на їх надання;</w:t>
      </w:r>
    </w:p>
    <w:p w14:paraId="23737224" w14:textId="77777777" w:rsidR="0066476D" w:rsidRDefault="0066476D" w:rsidP="0066476D">
      <w:pPr>
        <w:numPr>
          <w:ilvl w:val="0"/>
          <w:numId w:val="2"/>
        </w:numPr>
        <w:jc w:val="both"/>
      </w:pPr>
      <w:r>
        <w:t>організаційні, що полягають в сприянні мір даного регулювання, здійснення</w:t>
      </w:r>
    </w:p>
    <w:p w14:paraId="1EEE9EBB" w14:textId="77777777" w:rsidR="0066476D" w:rsidRPr="008C4EBF" w:rsidRDefault="0066476D" w:rsidP="0066476D">
      <w:pPr>
        <w:jc w:val="both"/>
      </w:pPr>
      <w:r>
        <w:t>моніторингу і контролю зазначеного в проекті</w:t>
      </w:r>
    </w:p>
    <w:p w14:paraId="434C22A2" w14:textId="77777777" w:rsidR="0066476D" w:rsidRDefault="0066476D" w:rsidP="0066476D">
      <w:pPr>
        <w:jc w:val="both"/>
        <w:rPr>
          <w:b/>
        </w:rPr>
      </w:pPr>
    </w:p>
    <w:p w14:paraId="5AD96B41" w14:textId="77777777" w:rsidR="0066476D" w:rsidRDefault="0066476D" w:rsidP="0066476D">
      <w:pPr>
        <w:jc w:val="both"/>
        <w:rPr>
          <w:b/>
        </w:rPr>
      </w:pPr>
    </w:p>
    <w:p w14:paraId="61F4849D" w14:textId="77777777" w:rsidR="0066476D" w:rsidRDefault="0066476D" w:rsidP="0066476D">
      <w:pPr>
        <w:numPr>
          <w:ilvl w:val="0"/>
          <w:numId w:val="8"/>
        </w:numPr>
        <w:jc w:val="both"/>
        <w:rPr>
          <w:b/>
        </w:rPr>
      </w:pPr>
      <w:r>
        <w:rPr>
          <w:b/>
        </w:rPr>
        <w:t xml:space="preserve">Обґрунтування запропонованого строку дії регуляторного </w:t>
      </w:r>
      <w:proofErr w:type="spellStart"/>
      <w:r>
        <w:rPr>
          <w:b/>
        </w:rPr>
        <w:t>акта</w:t>
      </w:r>
      <w:proofErr w:type="spellEnd"/>
      <w:r>
        <w:rPr>
          <w:b/>
        </w:rPr>
        <w:t>.</w:t>
      </w:r>
    </w:p>
    <w:p w14:paraId="7C90595E" w14:textId="77777777" w:rsidR="0066476D" w:rsidRPr="008C6C22" w:rsidRDefault="0066476D" w:rsidP="0066476D">
      <w:pPr>
        <w:ind w:left="180"/>
        <w:jc w:val="both"/>
        <w:rPr>
          <w:b/>
          <w:sz w:val="10"/>
          <w:szCs w:val="10"/>
        </w:rPr>
      </w:pPr>
    </w:p>
    <w:p w14:paraId="48C15F49" w14:textId="77777777" w:rsidR="0066476D" w:rsidRDefault="0066476D" w:rsidP="0066476D">
      <w:pPr>
        <w:ind w:left="540"/>
        <w:jc w:val="both"/>
      </w:pPr>
      <w:r w:rsidRPr="00D473B1">
        <w:t>Даний</w:t>
      </w:r>
      <w:r>
        <w:t xml:space="preserve"> проект регуляторного </w:t>
      </w:r>
      <w:proofErr w:type="spellStart"/>
      <w:r>
        <w:t>акта</w:t>
      </w:r>
      <w:proofErr w:type="spellEnd"/>
      <w:r>
        <w:t xml:space="preserve"> є загальнообов’язковим до застосування в м. Острог та</w:t>
      </w:r>
    </w:p>
    <w:p w14:paraId="3D716257" w14:textId="77777777" w:rsidR="0066476D" w:rsidRDefault="0066476D" w:rsidP="0066476D">
      <w:pPr>
        <w:jc w:val="both"/>
      </w:pPr>
      <w:r>
        <w:t xml:space="preserve">має необмежений термін дії. </w:t>
      </w:r>
    </w:p>
    <w:p w14:paraId="41D66FE2" w14:textId="77777777" w:rsidR="0066476D" w:rsidRDefault="0066476D" w:rsidP="0066476D">
      <w:pPr>
        <w:ind w:left="540"/>
        <w:jc w:val="both"/>
      </w:pPr>
      <w:r>
        <w:t>У разі  внесення змін в законодавство та значних змін у розрахункових показниках</w:t>
      </w:r>
    </w:p>
    <w:p w14:paraId="5A8F077E" w14:textId="77777777" w:rsidR="0066476D" w:rsidRPr="00D473B1" w:rsidRDefault="0066476D" w:rsidP="0066476D">
      <w:pPr>
        <w:jc w:val="both"/>
      </w:pPr>
      <w:r>
        <w:t xml:space="preserve">собівартості послуг буде проведена процедура внесення змін до регуляторного </w:t>
      </w:r>
      <w:proofErr w:type="spellStart"/>
      <w:r>
        <w:t>акта</w:t>
      </w:r>
      <w:proofErr w:type="spellEnd"/>
      <w:r>
        <w:t xml:space="preserve"> або прийняття нового регуляторного </w:t>
      </w:r>
      <w:proofErr w:type="spellStart"/>
      <w:r>
        <w:t>акта</w:t>
      </w:r>
      <w:proofErr w:type="spellEnd"/>
      <w:r>
        <w:t xml:space="preserve"> в установленому чинним законодавством порядку.</w:t>
      </w:r>
    </w:p>
    <w:p w14:paraId="3C1F572C" w14:textId="77777777" w:rsidR="0066476D" w:rsidRDefault="0066476D" w:rsidP="0066476D">
      <w:pPr>
        <w:ind w:left="180"/>
        <w:jc w:val="both"/>
        <w:rPr>
          <w:b/>
        </w:rPr>
      </w:pPr>
    </w:p>
    <w:p w14:paraId="19600A21" w14:textId="77777777" w:rsidR="0066476D" w:rsidRDefault="0066476D" w:rsidP="0066476D">
      <w:pPr>
        <w:numPr>
          <w:ilvl w:val="0"/>
          <w:numId w:val="8"/>
        </w:numPr>
        <w:jc w:val="both"/>
        <w:rPr>
          <w:b/>
        </w:rPr>
      </w:pPr>
      <w:r>
        <w:rPr>
          <w:b/>
        </w:rPr>
        <w:t xml:space="preserve">Визначення показників результативності дії регуляторного </w:t>
      </w:r>
      <w:proofErr w:type="spellStart"/>
      <w:r>
        <w:rPr>
          <w:b/>
        </w:rPr>
        <w:t>акта</w:t>
      </w:r>
      <w:proofErr w:type="spellEnd"/>
      <w:r>
        <w:rPr>
          <w:b/>
        </w:rPr>
        <w:t>.</w:t>
      </w:r>
    </w:p>
    <w:p w14:paraId="147150FC" w14:textId="77777777" w:rsidR="0066476D" w:rsidRPr="008C6C22" w:rsidRDefault="0066476D" w:rsidP="0066476D">
      <w:pPr>
        <w:ind w:left="540"/>
        <w:jc w:val="both"/>
      </w:pPr>
      <w:r w:rsidRPr="008C6C22">
        <w:t xml:space="preserve">Кількісні та якісні показники результативності регуляторного </w:t>
      </w:r>
      <w:proofErr w:type="spellStart"/>
      <w:r w:rsidRPr="008C6C22">
        <w:t>акта</w:t>
      </w:r>
      <w:proofErr w:type="spellEnd"/>
      <w:r>
        <w:t>:</w:t>
      </w:r>
    </w:p>
    <w:p w14:paraId="5A3C817A" w14:textId="77777777" w:rsidR="0066476D" w:rsidRDefault="0066476D" w:rsidP="0066476D">
      <w:pPr>
        <w:numPr>
          <w:ilvl w:val="0"/>
          <w:numId w:val="2"/>
        </w:numPr>
        <w:jc w:val="both"/>
      </w:pPr>
      <w:r w:rsidRPr="009D122E">
        <w:t>показники фінансово-економічної діяльності</w:t>
      </w:r>
      <w:r>
        <w:t xml:space="preserve"> підприємства у сфері надання ритуальних</w:t>
      </w:r>
    </w:p>
    <w:p w14:paraId="5E400C6C" w14:textId="77777777" w:rsidR="0066476D" w:rsidRDefault="0066476D" w:rsidP="0066476D">
      <w:pPr>
        <w:jc w:val="both"/>
      </w:pPr>
      <w:r>
        <w:t>послуг: кількість та фактичні витрати на надані послуги, фінансовий результат господарської діяльності підприємства в сфері надання ритуальних послуг;</w:t>
      </w:r>
    </w:p>
    <w:p w14:paraId="5A2962AD" w14:textId="77777777" w:rsidR="0066476D" w:rsidRPr="009D122E" w:rsidRDefault="0066476D" w:rsidP="0066476D">
      <w:pPr>
        <w:ind w:left="240"/>
        <w:jc w:val="both"/>
        <w:rPr>
          <w:sz w:val="6"/>
          <w:szCs w:val="6"/>
        </w:rPr>
      </w:pPr>
    </w:p>
    <w:p w14:paraId="00BB5FB8" w14:textId="77777777" w:rsidR="0066476D" w:rsidRPr="00FF434E" w:rsidRDefault="0066476D" w:rsidP="0066476D">
      <w:pPr>
        <w:numPr>
          <w:ilvl w:val="0"/>
          <w:numId w:val="2"/>
        </w:numPr>
        <w:jc w:val="both"/>
        <w:rPr>
          <w:b/>
        </w:rPr>
      </w:pPr>
      <w:r>
        <w:t>рівень відшкодування середньозваженим тарифом собівартості наданих послуг, аналіз</w:t>
      </w:r>
    </w:p>
    <w:p w14:paraId="2F53B34B" w14:textId="77777777" w:rsidR="0066476D" w:rsidRPr="009D122E" w:rsidRDefault="0066476D" w:rsidP="0066476D">
      <w:pPr>
        <w:jc w:val="both"/>
        <w:rPr>
          <w:b/>
        </w:rPr>
      </w:pPr>
      <w:r>
        <w:t>щодо кількості та окупності наданих послуг;</w:t>
      </w:r>
    </w:p>
    <w:p w14:paraId="3912067C" w14:textId="77777777" w:rsidR="0066476D" w:rsidRPr="009D122E" w:rsidRDefault="0066476D" w:rsidP="0066476D">
      <w:pPr>
        <w:ind w:left="240"/>
        <w:jc w:val="both"/>
        <w:rPr>
          <w:b/>
          <w:sz w:val="6"/>
          <w:szCs w:val="6"/>
        </w:rPr>
      </w:pPr>
    </w:p>
    <w:p w14:paraId="038F97E8" w14:textId="77777777" w:rsidR="0066476D" w:rsidRPr="00FF434E" w:rsidRDefault="0066476D" w:rsidP="0066476D">
      <w:pPr>
        <w:numPr>
          <w:ilvl w:val="0"/>
          <w:numId w:val="2"/>
        </w:numPr>
        <w:jc w:val="both"/>
        <w:rPr>
          <w:b/>
        </w:rPr>
      </w:pPr>
      <w:r>
        <w:t>показники своєчасності і якості надання послуг: кількість звернень та скарг громадян з</w:t>
      </w:r>
    </w:p>
    <w:p w14:paraId="36C35AC6" w14:textId="77777777" w:rsidR="0066476D" w:rsidRPr="009D122E" w:rsidRDefault="0066476D" w:rsidP="0066476D">
      <w:pPr>
        <w:jc w:val="both"/>
        <w:rPr>
          <w:b/>
        </w:rPr>
      </w:pPr>
      <w:r>
        <w:t>питань неякісного та несвоєчасного надання послуг.</w:t>
      </w:r>
    </w:p>
    <w:p w14:paraId="7F7E404F" w14:textId="77777777" w:rsidR="0066476D" w:rsidRDefault="0066476D" w:rsidP="0066476D">
      <w:pPr>
        <w:jc w:val="both"/>
        <w:rPr>
          <w:b/>
        </w:rPr>
      </w:pPr>
    </w:p>
    <w:p w14:paraId="2976037F" w14:textId="77777777" w:rsidR="0066476D" w:rsidRDefault="0066476D" w:rsidP="0066476D">
      <w:pPr>
        <w:numPr>
          <w:ilvl w:val="0"/>
          <w:numId w:val="8"/>
        </w:numPr>
        <w:jc w:val="both"/>
        <w:rPr>
          <w:b/>
        </w:rPr>
      </w:pPr>
      <w:r w:rsidRPr="009D122E">
        <w:rPr>
          <w:b/>
        </w:rPr>
        <w:t xml:space="preserve">Визначення заходів, за допомогою яких здійснюватиметься відстеження результативності дії регуляторного </w:t>
      </w:r>
      <w:proofErr w:type="spellStart"/>
      <w:r w:rsidRPr="009D122E">
        <w:rPr>
          <w:b/>
        </w:rPr>
        <w:t>акта</w:t>
      </w:r>
      <w:proofErr w:type="spellEnd"/>
      <w:r>
        <w:rPr>
          <w:b/>
        </w:rPr>
        <w:t>.</w:t>
      </w:r>
    </w:p>
    <w:p w14:paraId="2F70EF16" w14:textId="77777777" w:rsidR="0066476D" w:rsidRPr="00FF434E" w:rsidRDefault="0066476D" w:rsidP="0066476D">
      <w:pPr>
        <w:ind w:left="180"/>
        <w:jc w:val="both"/>
        <w:rPr>
          <w:b/>
          <w:sz w:val="10"/>
          <w:szCs w:val="10"/>
        </w:rPr>
      </w:pPr>
    </w:p>
    <w:p w14:paraId="1A90F191" w14:textId="77777777" w:rsidR="0066476D" w:rsidRDefault="0066476D" w:rsidP="0066476D">
      <w:pPr>
        <w:ind w:left="180"/>
        <w:jc w:val="both"/>
      </w:pPr>
      <w:r>
        <w:rPr>
          <w:b/>
        </w:rPr>
        <w:t xml:space="preserve">  </w:t>
      </w:r>
      <w:r w:rsidRPr="00FF434E">
        <w:t xml:space="preserve">     Відстеження результативності даного регуляторного </w:t>
      </w:r>
      <w:proofErr w:type="spellStart"/>
      <w:r w:rsidRPr="00FF434E">
        <w:t>акта</w:t>
      </w:r>
      <w:proofErr w:type="spellEnd"/>
      <w:r w:rsidRPr="00FF434E">
        <w:t xml:space="preserve"> </w:t>
      </w:r>
      <w:r>
        <w:t>буде здійснюватися на підставі показників  аналізу фінансово-господарської діяльності підприємства та інших статистичних даних.</w:t>
      </w:r>
    </w:p>
    <w:p w14:paraId="45900198" w14:textId="77777777" w:rsidR="0066476D" w:rsidRDefault="0066476D" w:rsidP="0066476D">
      <w:pPr>
        <w:ind w:left="180"/>
        <w:jc w:val="both"/>
      </w:pPr>
      <w:r>
        <w:t xml:space="preserve">    </w:t>
      </w:r>
    </w:p>
    <w:p w14:paraId="409A0DB8" w14:textId="77777777" w:rsidR="0066476D" w:rsidRDefault="0066476D" w:rsidP="0066476D">
      <w:pPr>
        <w:ind w:left="180"/>
        <w:jc w:val="both"/>
      </w:pPr>
      <w:r>
        <w:t xml:space="preserve">      Терміни проведення базового, повторного, періодичного відстеження результативності регуляторного </w:t>
      </w:r>
      <w:proofErr w:type="spellStart"/>
      <w:r>
        <w:t>акта</w:t>
      </w:r>
      <w:proofErr w:type="spellEnd"/>
      <w:r>
        <w:t>:</w:t>
      </w:r>
    </w:p>
    <w:p w14:paraId="710D1C17" w14:textId="77777777" w:rsidR="0066476D" w:rsidRDefault="0066476D" w:rsidP="0066476D">
      <w:pPr>
        <w:numPr>
          <w:ilvl w:val="0"/>
          <w:numId w:val="2"/>
        </w:numPr>
        <w:jc w:val="both"/>
      </w:pPr>
      <w:r>
        <w:t xml:space="preserve">базове відстеження після набрання чинності регуляторного </w:t>
      </w:r>
      <w:proofErr w:type="spellStart"/>
      <w:r>
        <w:t>акта</w:t>
      </w:r>
      <w:proofErr w:type="spellEnd"/>
      <w:r>
        <w:t>, але не пізніше дня, з</w:t>
      </w:r>
    </w:p>
    <w:p w14:paraId="1EFB8CCD" w14:textId="77777777" w:rsidR="0066476D" w:rsidRDefault="0066476D" w:rsidP="0066476D">
      <w:pPr>
        <w:jc w:val="both"/>
      </w:pPr>
      <w:r>
        <w:t xml:space="preserve">якого починається проведення повторного відстеження результативності цього регуляторного </w:t>
      </w:r>
      <w:proofErr w:type="spellStart"/>
      <w:r>
        <w:t>акта</w:t>
      </w:r>
      <w:proofErr w:type="spellEnd"/>
      <w:r>
        <w:t>;</w:t>
      </w:r>
    </w:p>
    <w:p w14:paraId="3355646C" w14:textId="77777777" w:rsidR="0066476D" w:rsidRPr="00FF434E" w:rsidRDefault="0066476D" w:rsidP="0066476D">
      <w:pPr>
        <w:ind w:left="240"/>
        <w:jc w:val="both"/>
        <w:rPr>
          <w:sz w:val="6"/>
          <w:szCs w:val="6"/>
        </w:rPr>
      </w:pPr>
    </w:p>
    <w:p w14:paraId="6DFA55CE" w14:textId="77777777" w:rsidR="0066476D" w:rsidRDefault="0066476D" w:rsidP="0066476D">
      <w:pPr>
        <w:numPr>
          <w:ilvl w:val="0"/>
          <w:numId w:val="2"/>
        </w:numPr>
        <w:jc w:val="both"/>
      </w:pPr>
      <w:r>
        <w:t xml:space="preserve">повторне відстеження – через рік з дня набрання чинності регуляторного </w:t>
      </w:r>
      <w:proofErr w:type="spellStart"/>
      <w:r>
        <w:t>акта</w:t>
      </w:r>
      <w:proofErr w:type="spellEnd"/>
      <w:r>
        <w:t xml:space="preserve">, але не </w:t>
      </w:r>
    </w:p>
    <w:p w14:paraId="37BAA01F" w14:textId="77777777" w:rsidR="0066476D" w:rsidRDefault="0066476D" w:rsidP="0066476D">
      <w:pPr>
        <w:jc w:val="both"/>
      </w:pPr>
      <w:r>
        <w:t>пізніше ніж через 2 роки;</w:t>
      </w:r>
    </w:p>
    <w:p w14:paraId="0D9D887A" w14:textId="77777777" w:rsidR="0066476D" w:rsidRPr="00FF434E" w:rsidRDefault="0066476D" w:rsidP="0066476D">
      <w:pPr>
        <w:ind w:left="240"/>
        <w:jc w:val="both"/>
        <w:rPr>
          <w:sz w:val="6"/>
          <w:szCs w:val="6"/>
        </w:rPr>
      </w:pPr>
    </w:p>
    <w:p w14:paraId="6F89612C" w14:textId="77777777" w:rsidR="0066476D" w:rsidRDefault="0066476D" w:rsidP="0066476D">
      <w:pPr>
        <w:numPr>
          <w:ilvl w:val="0"/>
          <w:numId w:val="2"/>
        </w:numPr>
        <w:jc w:val="both"/>
      </w:pPr>
      <w:r>
        <w:t>періодичне відстеження – раз на кожні три роки після повторного відстеження.</w:t>
      </w:r>
    </w:p>
    <w:p w14:paraId="0461BF50" w14:textId="77777777" w:rsidR="0066476D" w:rsidRDefault="0066476D" w:rsidP="0066476D">
      <w:pPr>
        <w:jc w:val="both"/>
      </w:pPr>
    </w:p>
    <w:p w14:paraId="42D05357" w14:textId="77777777" w:rsidR="0066476D" w:rsidRDefault="0066476D" w:rsidP="0066476D">
      <w:pPr>
        <w:jc w:val="both"/>
      </w:pPr>
      <w:r>
        <w:t xml:space="preserve">Директор Острозького </w:t>
      </w:r>
    </w:p>
    <w:p w14:paraId="27C8C4A1" w14:textId="7108E700" w:rsidR="002B220E" w:rsidRDefault="0066476D" w:rsidP="0066476D">
      <w:pPr>
        <w:jc w:val="both"/>
      </w:pPr>
      <w:r>
        <w:t xml:space="preserve">    КП «Водоканал»                                                                                Скороход М.С.</w:t>
      </w:r>
    </w:p>
    <w:sectPr w:rsidR="002B220E">
      <w:pgSz w:w="12240" w:h="15840"/>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042F5"/>
    <w:multiLevelType w:val="hybridMultilevel"/>
    <w:tmpl w:val="FF9A6CAC"/>
    <w:lvl w:ilvl="0" w:tplc="4B6A7E3A">
      <w:start w:val="1"/>
      <w:numFmt w:val="decimal"/>
      <w:lvlText w:val="%1."/>
      <w:lvlJc w:val="left"/>
      <w:pPr>
        <w:tabs>
          <w:tab w:val="num" w:pos="660"/>
        </w:tabs>
        <w:ind w:left="660" w:hanging="360"/>
      </w:pPr>
      <w:rPr>
        <w:rFonts w:hint="default"/>
      </w:rPr>
    </w:lvl>
    <w:lvl w:ilvl="1" w:tplc="04220019" w:tentative="1">
      <w:start w:val="1"/>
      <w:numFmt w:val="lowerLetter"/>
      <w:lvlText w:val="%2."/>
      <w:lvlJc w:val="left"/>
      <w:pPr>
        <w:tabs>
          <w:tab w:val="num" w:pos="1380"/>
        </w:tabs>
        <w:ind w:left="1380" w:hanging="360"/>
      </w:pPr>
    </w:lvl>
    <w:lvl w:ilvl="2" w:tplc="0422001B" w:tentative="1">
      <w:start w:val="1"/>
      <w:numFmt w:val="lowerRoman"/>
      <w:lvlText w:val="%3."/>
      <w:lvlJc w:val="right"/>
      <w:pPr>
        <w:tabs>
          <w:tab w:val="num" w:pos="2100"/>
        </w:tabs>
        <w:ind w:left="2100" w:hanging="180"/>
      </w:pPr>
    </w:lvl>
    <w:lvl w:ilvl="3" w:tplc="0422000F" w:tentative="1">
      <w:start w:val="1"/>
      <w:numFmt w:val="decimal"/>
      <w:lvlText w:val="%4."/>
      <w:lvlJc w:val="left"/>
      <w:pPr>
        <w:tabs>
          <w:tab w:val="num" w:pos="2820"/>
        </w:tabs>
        <w:ind w:left="2820" w:hanging="360"/>
      </w:pPr>
    </w:lvl>
    <w:lvl w:ilvl="4" w:tplc="04220019" w:tentative="1">
      <w:start w:val="1"/>
      <w:numFmt w:val="lowerLetter"/>
      <w:lvlText w:val="%5."/>
      <w:lvlJc w:val="left"/>
      <w:pPr>
        <w:tabs>
          <w:tab w:val="num" w:pos="3540"/>
        </w:tabs>
        <w:ind w:left="3540" w:hanging="360"/>
      </w:pPr>
    </w:lvl>
    <w:lvl w:ilvl="5" w:tplc="0422001B" w:tentative="1">
      <w:start w:val="1"/>
      <w:numFmt w:val="lowerRoman"/>
      <w:lvlText w:val="%6."/>
      <w:lvlJc w:val="right"/>
      <w:pPr>
        <w:tabs>
          <w:tab w:val="num" w:pos="4260"/>
        </w:tabs>
        <w:ind w:left="4260" w:hanging="180"/>
      </w:pPr>
    </w:lvl>
    <w:lvl w:ilvl="6" w:tplc="0422000F" w:tentative="1">
      <w:start w:val="1"/>
      <w:numFmt w:val="decimal"/>
      <w:lvlText w:val="%7."/>
      <w:lvlJc w:val="left"/>
      <w:pPr>
        <w:tabs>
          <w:tab w:val="num" w:pos="4980"/>
        </w:tabs>
        <w:ind w:left="4980" w:hanging="360"/>
      </w:pPr>
    </w:lvl>
    <w:lvl w:ilvl="7" w:tplc="04220019" w:tentative="1">
      <w:start w:val="1"/>
      <w:numFmt w:val="lowerLetter"/>
      <w:lvlText w:val="%8."/>
      <w:lvlJc w:val="left"/>
      <w:pPr>
        <w:tabs>
          <w:tab w:val="num" w:pos="5700"/>
        </w:tabs>
        <w:ind w:left="5700" w:hanging="360"/>
      </w:pPr>
    </w:lvl>
    <w:lvl w:ilvl="8" w:tplc="0422001B" w:tentative="1">
      <w:start w:val="1"/>
      <w:numFmt w:val="lowerRoman"/>
      <w:lvlText w:val="%9."/>
      <w:lvlJc w:val="right"/>
      <w:pPr>
        <w:tabs>
          <w:tab w:val="num" w:pos="6420"/>
        </w:tabs>
        <w:ind w:left="6420" w:hanging="180"/>
      </w:pPr>
    </w:lvl>
  </w:abstractNum>
  <w:abstractNum w:abstractNumId="1" w15:restartNumberingAfterBreak="0">
    <w:nsid w:val="0BA60025"/>
    <w:multiLevelType w:val="hybridMultilevel"/>
    <w:tmpl w:val="02D86736"/>
    <w:lvl w:ilvl="0" w:tplc="54906F86">
      <w:start w:val="2"/>
      <w:numFmt w:val="bullet"/>
      <w:lvlText w:val="-"/>
      <w:lvlJc w:val="left"/>
      <w:pPr>
        <w:tabs>
          <w:tab w:val="num" w:pos="600"/>
        </w:tabs>
        <w:ind w:left="600" w:hanging="360"/>
      </w:pPr>
      <w:rPr>
        <w:rFonts w:ascii="Times New Roman" w:eastAsia="Times New Roman" w:hAnsi="Times New Roman" w:cs="Times New Roman" w:hint="default"/>
      </w:rPr>
    </w:lvl>
    <w:lvl w:ilvl="1" w:tplc="04220003" w:tentative="1">
      <w:start w:val="1"/>
      <w:numFmt w:val="bullet"/>
      <w:lvlText w:val="o"/>
      <w:lvlJc w:val="left"/>
      <w:pPr>
        <w:tabs>
          <w:tab w:val="num" w:pos="1320"/>
        </w:tabs>
        <w:ind w:left="1320" w:hanging="360"/>
      </w:pPr>
      <w:rPr>
        <w:rFonts w:ascii="Courier New" w:hAnsi="Courier New" w:cs="Courier New" w:hint="default"/>
      </w:rPr>
    </w:lvl>
    <w:lvl w:ilvl="2" w:tplc="04220005" w:tentative="1">
      <w:start w:val="1"/>
      <w:numFmt w:val="bullet"/>
      <w:lvlText w:val=""/>
      <w:lvlJc w:val="left"/>
      <w:pPr>
        <w:tabs>
          <w:tab w:val="num" w:pos="2040"/>
        </w:tabs>
        <w:ind w:left="2040" w:hanging="360"/>
      </w:pPr>
      <w:rPr>
        <w:rFonts w:ascii="Wingdings" w:hAnsi="Wingdings" w:hint="default"/>
      </w:rPr>
    </w:lvl>
    <w:lvl w:ilvl="3" w:tplc="04220001" w:tentative="1">
      <w:start w:val="1"/>
      <w:numFmt w:val="bullet"/>
      <w:lvlText w:val=""/>
      <w:lvlJc w:val="left"/>
      <w:pPr>
        <w:tabs>
          <w:tab w:val="num" w:pos="2760"/>
        </w:tabs>
        <w:ind w:left="2760" w:hanging="360"/>
      </w:pPr>
      <w:rPr>
        <w:rFonts w:ascii="Symbol" w:hAnsi="Symbol" w:hint="default"/>
      </w:rPr>
    </w:lvl>
    <w:lvl w:ilvl="4" w:tplc="04220003" w:tentative="1">
      <w:start w:val="1"/>
      <w:numFmt w:val="bullet"/>
      <w:lvlText w:val="o"/>
      <w:lvlJc w:val="left"/>
      <w:pPr>
        <w:tabs>
          <w:tab w:val="num" w:pos="3480"/>
        </w:tabs>
        <w:ind w:left="3480" w:hanging="360"/>
      </w:pPr>
      <w:rPr>
        <w:rFonts w:ascii="Courier New" w:hAnsi="Courier New" w:cs="Courier New" w:hint="default"/>
      </w:rPr>
    </w:lvl>
    <w:lvl w:ilvl="5" w:tplc="04220005" w:tentative="1">
      <w:start w:val="1"/>
      <w:numFmt w:val="bullet"/>
      <w:lvlText w:val=""/>
      <w:lvlJc w:val="left"/>
      <w:pPr>
        <w:tabs>
          <w:tab w:val="num" w:pos="4200"/>
        </w:tabs>
        <w:ind w:left="4200" w:hanging="360"/>
      </w:pPr>
      <w:rPr>
        <w:rFonts w:ascii="Wingdings" w:hAnsi="Wingdings" w:hint="default"/>
      </w:rPr>
    </w:lvl>
    <w:lvl w:ilvl="6" w:tplc="04220001" w:tentative="1">
      <w:start w:val="1"/>
      <w:numFmt w:val="bullet"/>
      <w:lvlText w:val=""/>
      <w:lvlJc w:val="left"/>
      <w:pPr>
        <w:tabs>
          <w:tab w:val="num" w:pos="4920"/>
        </w:tabs>
        <w:ind w:left="4920" w:hanging="360"/>
      </w:pPr>
      <w:rPr>
        <w:rFonts w:ascii="Symbol" w:hAnsi="Symbol" w:hint="default"/>
      </w:rPr>
    </w:lvl>
    <w:lvl w:ilvl="7" w:tplc="04220003" w:tentative="1">
      <w:start w:val="1"/>
      <w:numFmt w:val="bullet"/>
      <w:lvlText w:val="o"/>
      <w:lvlJc w:val="left"/>
      <w:pPr>
        <w:tabs>
          <w:tab w:val="num" w:pos="5640"/>
        </w:tabs>
        <w:ind w:left="5640" w:hanging="360"/>
      </w:pPr>
      <w:rPr>
        <w:rFonts w:ascii="Courier New" w:hAnsi="Courier New" w:cs="Courier New" w:hint="default"/>
      </w:rPr>
    </w:lvl>
    <w:lvl w:ilvl="8" w:tplc="04220005" w:tentative="1">
      <w:start w:val="1"/>
      <w:numFmt w:val="bullet"/>
      <w:lvlText w:val=""/>
      <w:lvlJc w:val="left"/>
      <w:pPr>
        <w:tabs>
          <w:tab w:val="num" w:pos="6360"/>
        </w:tabs>
        <w:ind w:left="6360" w:hanging="360"/>
      </w:pPr>
      <w:rPr>
        <w:rFonts w:ascii="Wingdings" w:hAnsi="Wingdings" w:hint="default"/>
      </w:rPr>
    </w:lvl>
  </w:abstractNum>
  <w:abstractNum w:abstractNumId="2" w15:restartNumberingAfterBreak="0">
    <w:nsid w:val="0CC87B92"/>
    <w:multiLevelType w:val="hybridMultilevel"/>
    <w:tmpl w:val="B36CCC50"/>
    <w:lvl w:ilvl="0" w:tplc="A9941B8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3" w15:restartNumberingAfterBreak="0">
    <w:nsid w:val="12127883"/>
    <w:multiLevelType w:val="hybridMultilevel"/>
    <w:tmpl w:val="A20E77C6"/>
    <w:lvl w:ilvl="0" w:tplc="2410F2A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4" w15:restartNumberingAfterBreak="0">
    <w:nsid w:val="1FA4004F"/>
    <w:multiLevelType w:val="hybridMultilevel"/>
    <w:tmpl w:val="F8CC74D4"/>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15:restartNumberingAfterBreak="0">
    <w:nsid w:val="21B71FE3"/>
    <w:multiLevelType w:val="hybridMultilevel"/>
    <w:tmpl w:val="1A7A0C54"/>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15:restartNumberingAfterBreak="0">
    <w:nsid w:val="3B0D189C"/>
    <w:multiLevelType w:val="hybridMultilevel"/>
    <w:tmpl w:val="CE868BB0"/>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 w15:restartNumberingAfterBreak="0">
    <w:nsid w:val="547E3577"/>
    <w:multiLevelType w:val="hybridMultilevel"/>
    <w:tmpl w:val="99582C70"/>
    <w:lvl w:ilvl="0" w:tplc="61D0C1C8">
      <w:start w:val="1"/>
      <w:numFmt w:val="decimal"/>
      <w:lvlText w:val="%1."/>
      <w:lvlJc w:val="left"/>
      <w:pPr>
        <w:tabs>
          <w:tab w:val="num" w:pos="795"/>
        </w:tabs>
        <w:ind w:left="795" w:hanging="435"/>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 w15:restartNumberingAfterBreak="0">
    <w:nsid w:val="58AC1043"/>
    <w:multiLevelType w:val="hybridMultilevel"/>
    <w:tmpl w:val="24E01C26"/>
    <w:lvl w:ilvl="0" w:tplc="6472E0F2">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num w:numId="1">
    <w:abstractNumId w:val="6"/>
  </w:num>
  <w:num w:numId="2">
    <w:abstractNumId w:val="1"/>
  </w:num>
  <w:num w:numId="3">
    <w:abstractNumId w:val="7"/>
  </w:num>
  <w:num w:numId="4">
    <w:abstractNumId w:val="4"/>
  </w:num>
  <w:num w:numId="5">
    <w:abstractNumId w:val="3"/>
  </w:num>
  <w:num w:numId="6">
    <w:abstractNumId w:val="5"/>
  </w:num>
  <w:num w:numId="7">
    <w:abstractNumId w:val="2"/>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20E"/>
    <w:rsid w:val="002B220E"/>
    <w:rsid w:val="00664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4517E"/>
  <w15:chartTrackingRefBased/>
  <w15:docId w15:val="{F7FFB44A-B6A9-49CF-B89E-91F2941DA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76D"/>
    <w:pPr>
      <w:spacing w:after="0" w:line="240" w:lineRule="auto"/>
    </w:pPr>
    <w:rPr>
      <w:rFonts w:ascii="Times New Roman" w:eastAsia="Times New Roman" w:hAnsi="Times New Roman" w:cs="Times New Roman"/>
      <w:sz w:val="24"/>
      <w:szCs w:val="24"/>
      <w:lang w:val="uk-UA"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4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1987</Words>
  <Characters>11327</Characters>
  <Application>Microsoft Office Word</Application>
  <DocSecurity>0</DocSecurity>
  <Lines>94</Lines>
  <Paragraphs>26</Paragraphs>
  <ScaleCrop>false</ScaleCrop>
  <Company/>
  <LinksUpToDate>false</LinksUpToDate>
  <CharactersWithSpaces>13288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Volodymyr Varyshniuk</dc:creator>
  <cp:keywords/>
  <dc:description/>
  <cp:lastModifiedBy>Volodymyr Varyshniuk</cp:lastModifiedBy>
  <cp:revision>2</cp:revision>
  <dcterms:created xsi:type="dcterms:W3CDTF">2020-02-13T08:58:00Z</dcterms:created>
  <dcterms:modified xsi:type="dcterms:W3CDTF">2020-02-13T08:58:00Z</dcterms:modified>
</cp:coreProperties>
</file>