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0BAD" w14:textId="77777777" w:rsidR="00133B4B" w:rsidRPr="00F11A82" w:rsidRDefault="00133B4B" w:rsidP="00133B4B">
      <w:pPr>
        <w:jc w:val="center"/>
        <w:rPr>
          <w:b/>
        </w:rPr>
      </w:pPr>
      <w:r w:rsidRPr="00F11A82">
        <w:rPr>
          <w:b/>
        </w:rPr>
        <w:t>Аналіз регуляторного впливу</w:t>
      </w:r>
    </w:p>
    <w:p w14:paraId="15B8E47C" w14:textId="77777777" w:rsidR="00133B4B" w:rsidRPr="00F11A82" w:rsidRDefault="00133B4B" w:rsidP="00133B4B">
      <w:pPr>
        <w:jc w:val="center"/>
        <w:rPr>
          <w:b/>
        </w:rPr>
      </w:pPr>
      <w:r w:rsidRPr="00F11A82">
        <w:rPr>
          <w:b/>
        </w:rPr>
        <w:t xml:space="preserve">до проекту рішення виконавчого комітету Острозької міської ради </w:t>
      </w:r>
    </w:p>
    <w:p w14:paraId="71222D9B" w14:textId="77777777" w:rsidR="00133B4B" w:rsidRPr="00F11A82" w:rsidRDefault="00133B4B" w:rsidP="00133B4B">
      <w:pPr>
        <w:jc w:val="center"/>
        <w:rPr>
          <w:b/>
        </w:rPr>
      </w:pPr>
      <w:r w:rsidRPr="00F11A82">
        <w:rPr>
          <w:b/>
        </w:rPr>
        <w:t>«Про затвердження норм утворення побутових відходів по Острозькому</w:t>
      </w:r>
    </w:p>
    <w:p w14:paraId="473C74DD" w14:textId="77777777" w:rsidR="00133B4B" w:rsidRPr="00F11A82" w:rsidRDefault="00133B4B" w:rsidP="00133B4B">
      <w:pPr>
        <w:jc w:val="center"/>
        <w:rPr>
          <w:b/>
        </w:rPr>
      </w:pPr>
      <w:r w:rsidRPr="00F11A82">
        <w:rPr>
          <w:b/>
        </w:rPr>
        <w:t xml:space="preserve"> комунальному підприємству «Водоканал»</w:t>
      </w:r>
    </w:p>
    <w:p w14:paraId="755C2F4E" w14:textId="77777777" w:rsidR="00133B4B" w:rsidRPr="00F11A82" w:rsidRDefault="00133B4B" w:rsidP="00133B4B">
      <w:pPr>
        <w:jc w:val="center"/>
        <w:rPr>
          <w:b/>
        </w:rPr>
      </w:pPr>
    </w:p>
    <w:p w14:paraId="6C8FA830" w14:textId="77777777" w:rsidR="00133B4B" w:rsidRDefault="00133B4B" w:rsidP="00133B4B">
      <w:r>
        <w:tab/>
      </w:r>
    </w:p>
    <w:p w14:paraId="5E342628" w14:textId="77777777" w:rsidR="00133B4B" w:rsidRDefault="00133B4B" w:rsidP="00133B4B">
      <w:pPr>
        <w:jc w:val="both"/>
      </w:pPr>
      <w:r>
        <w:tab/>
        <w:t>Цей аналіз регуляторного впливу (далі-Аналіз) розроблений на виконання вимог Закону України «Про засади державної регуляторної політики у сфері господарської діяльності» від 11.03.2003 № 11620-І</w:t>
      </w:r>
      <w:r>
        <w:rPr>
          <w:lang w:val="en-US"/>
        </w:rPr>
        <w:t>V</w:t>
      </w:r>
      <w:r>
        <w:t xml:space="preserve"> та постанови Кабінету Міністрів України «Про затвердження методик проведення аналізу впливу та відстеження результативності регуляторного акта» від 11.03.2004</w:t>
      </w:r>
      <w:r w:rsidRPr="003321EA">
        <w:t xml:space="preserve"> </w:t>
      </w:r>
      <w:r>
        <w:t>№ 308 і визначає правові та організаційні засади реалізації проекту рішення виконавчого комітету Острозької міської ради «Про затвердження норм утворення побутових відходів по Острозькому комунальному підприємству «Водоканал».</w:t>
      </w:r>
    </w:p>
    <w:p w14:paraId="11A8BBF4" w14:textId="77777777" w:rsidR="00133B4B" w:rsidRDefault="00133B4B" w:rsidP="00133B4B">
      <w:pPr>
        <w:jc w:val="both"/>
      </w:pPr>
      <w:r>
        <w:t xml:space="preserve"> </w:t>
      </w:r>
      <w:r>
        <w:tab/>
        <w:t>Аналіз розроблений з метою реалізації державної політики в сфері поводження з побутовими відходами, створення належних правових підстав та умов для затвердження норм надання послуг з вивезення побутових відходів організації роботи виконавців таких послуг у сфері поводження з відходами та створення відповідних умов для забезпечення споживачів якісними послугами з організації збирання та вивезення побутових відходів, що утворюються на території Острозької ОТГ.</w:t>
      </w:r>
    </w:p>
    <w:p w14:paraId="113F36F1" w14:textId="77777777" w:rsidR="00133B4B" w:rsidRDefault="00133B4B" w:rsidP="00133B4B">
      <w:pPr>
        <w:jc w:val="both"/>
      </w:pPr>
    </w:p>
    <w:p w14:paraId="412B70FA" w14:textId="77777777" w:rsidR="00133B4B" w:rsidRPr="004B52D3" w:rsidRDefault="00133B4B" w:rsidP="00133B4B">
      <w:pPr>
        <w:jc w:val="center"/>
        <w:rPr>
          <w:b/>
        </w:rPr>
      </w:pPr>
      <w:r w:rsidRPr="004B52D3">
        <w:rPr>
          <w:b/>
        </w:rPr>
        <w:t>1. Визначення проблеми</w:t>
      </w:r>
    </w:p>
    <w:p w14:paraId="3A99EDDA" w14:textId="77777777" w:rsidR="00133B4B" w:rsidRDefault="00133B4B" w:rsidP="00133B4B">
      <w:pPr>
        <w:jc w:val="both"/>
      </w:pPr>
      <w:r>
        <w:t xml:space="preserve">            Основною проблемою є те, що існуючі норми надання послуг з вивезення побутових відходів не відображають фактичне накопичення побутових відходів по території Острозької ОТГ.</w:t>
      </w:r>
    </w:p>
    <w:p w14:paraId="3E46A587" w14:textId="77777777" w:rsidR="00133B4B" w:rsidRDefault="00133B4B" w:rsidP="00133B4B">
      <w:pPr>
        <w:jc w:val="both"/>
      </w:pPr>
      <w:r>
        <w:tab/>
        <w:t>Відповідно до вимог Закону України «Про внесення змін до деяких законодавчих актів України у сфері поводження з відходами», органи місцевого самоврядування затверджують норми надання послуг із вивезення побутових відходів. Так, відповідно до підпункту  16 пункту «а»статті 30 Закону України «Про місцеве самоврядування в Україні» затвердження норм надання послуг з вивезення побутових відходів відноситься до повноважень виконавчих органів відповідних рад. Відповідно до постанови Кабінету Міністрів України «Про затвердження Правил надання послуг з вивезення побутових відходів» від 10.12.2008р. №1070 зазначені норми переглядаються один раз в п’ять років.</w:t>
      </w:r>
    </w:p>
    <w:p w14:paraId="37490402" w14:textId="77777777" w:rsidR="00133B4B" w:rsidRDefault="00133B4B" w:rsidP="00133B4B">
      <w:pPr>
        <w:jc w:val="both"/>
      </w:pPr>
      <w:r>
        <w:tab/>
        <w:t>Наказом Міністерства з питань житлово-комунального господарства затверджено Правила визначення норм надання послуг з вивезення побутових відходів. Ці правила встановлюють порядок виконання робіт з визначення норм надання послуг з вивезення побутових відходів у містах і селах, які застосовуються для визначення обсягів надання послуг з вивезення побутових відходів.</w:t>
      </w:r>
    </w:p>
    <w:p w14:paraId="072BA403" w14:textId="77777777" w:rsidR="00133B4B" w:rsidRDefault="00133B4B" w:rsidP="00133B4B">
      <w:pPr>
        <w:jc w:val="both"/>
      </w:pPr>
      <w:r>
        <w:t xml:space="preserve">          Норма – це кількісний показник споживання послуг з вивезення побутових відходів, які утворюються на одну розрахункову одиницю (одного мешканця для житлової забудови, одне місце в готелі, гуртожитку та ін..; 1кв.м. торгівельної та складської площі, вокзалу, автостоянки, та ін.; одне відвідування для поліклінік тощо).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800"/>
        <w:gridCol w:w="1620"/>
        <w:gridCol w:w="1440"/>
        <w:gridCol w:w="747"/>
      </w:tblGrid>
      <w:tr w:rsidR="00133B4B" w14:paraId="586DB69C" w14:textId="77777777" w:rsidTr="008E470A">
        <w:tc>
          <w:tcPr>
            <w:tcW w:w="4248" w:type="dxa"/>
            <w:shd w:val="clear" w:color="auto" w:fill="auto"/>
          </w:tcPr>
          <w:p w14:paraId="303FAE0E" w14:textId="77777777" w:rsidR="00133B4B" w:rsidRDefault="00133B4B" w:rsidP="008E470A">
            <w:pPr>
              <w:jc w:val="center"/>
            </w:pPr>
            <w:r>
              <w:t>Категорія споживачів</w:t>
            </w:r>
          </w:p>
        </w:tc>
        <w:tc>
          <w:tcPr>
            <w:tcW w:w="1800" w:type="dxa"/>
            <w:shd w:val="clear" w:color="auto" w:fill="auto"/>
          </w:tcPr>
          <w:p w14:paraId="160513F3" w14:textId="77777777" w:rsidR="00133B4B" w:rsidRDefault="00133B4B" w:rsidP="008E470A">
            <w:pPr>
              <w:jc w:val="center"/>
            </w:pPr>
            <w:r>
              <w:t>Розрахункова           одиниця</w:t>
            </w:r>
          </w:p>
        </w:tc>
        <w:tc>
          <w:tcPr>
            <w:tcW w:w="1620" w:type="dxa"/>
            <w:shd w:val="clear" w:color="auto" w:fill="auto"/>
          </w:tcPr>
          <w:p w14:paraId="5BDB01FB" w14:textId="77777777" w:rsidR="00133B4B" w:rsidRDefault="00133B4B" w:rsidP="008E470A">
            <w:pPr>
              <w:jc w:val="center"/>
            </w:pPr>
            <w:r>
              <w:t>Діюча  норма,</w:t>
            </w:r>
          </w:p>
          <w:p w14:paraId="7BE7D691" w14:textId="77777777" w:rsidR="00133B4B" w:rsidRDefault="00133B4B" w:rsidP="008E470A">
            <w:pPr>
              <w:jc w:val="center"/>
            </w:pPr>
            <w:r>
              <w:t>1 м. куб в рік</w:t>
            </w:r>
          </w:p>
        </w:tc>
        <w:tc>
          <w:tcPr>
            <w:tcW w:w="1440" w:type="dxa"/>
            <w:shd w:val="clear" w:color="auto" w:fill="auto"/>
          </w:tcPr>
          <w:p w14:paraId="081F7775" w14:textId="77777777" w:rsidR="00133B4B" w:rsidRDefault="00133B4B" w:rsidP="008E470A">
            <w:pPr>
              <w:jc w:val="center"/>
            </w:pPr>
            <w:r>
              <w:t>Планова норма, 1 м. куб. в рік</w:t>
            </w:r>
          </w:p>
        </w:tc>
        <w:tc>
          <w:tcPr>
            <w:tcW w:w="747" w:type="dxa"/>
            <w:shd w:val="clear" w:color="auto" w:fill="auto"/>
          </w:tcPr>
          <w:p w14:paraId="3A3683DE" w14:textId="77777777" w:rsidR="00133B4B" w:rsidRDefault="00133B4B" w:rsidP="008E470A">
            <w:pPr>
              <w:jc w:val="center"/>
            </w:pPr>
            <w:r>
              <w:t>Примітка</w:t>
            </w:r>
          </w:p>
        </w:tc>
      </w:tr>
      <w:tr w:rsidR="00133B4B" w14:paraId="0E2793D9" w14:textId="77777777" w:rsidTr="008E470A">
        <w:tc>
          <w:tcPr>
            <w:tcW w:w="4248" w:type="dxa"/>
            <w:shd w:val="clear" w:color="auto" w:fill="auto"/>
          </w:tcPr>
          <w:p w14:paraId="04036C25" w14:textId="77777777" w:rsidR="00133B4B" w:rsidRDefault="00133B4B" w:rsidP="008E470A">
            <w:pPr>
              <w:jc w:val="both"/>
            </w:pPr>
            <w:r>
              <w:t>Багатоквартирні будинки з наявністю усіх видів благоустрою</w:t>
            </w:r>
          </w:p>
        </w:tc>
        <w:tc>
          <w:tcPr>
            <w:tcW w:w="1800" w:type="dxa"/>
            <w:shd w:val="clear" w:color="auto" w:fill="auto"/>
          </w:tcPr>
          <w:p w14:paraId="12588962" w14:textId="77777777" w:rsidR="00133B4B" w:rsidRDefault="00133B4B" w:rsidP="008E470A">
            <w:pPr>
              <w:jc w:val="both"/>
            </w:pPr>
            <w:r>
              <w:t>1 мешканець</w:t>
            </w:r>
          </w:p>
        </w:tc>
        <w:tc>
          <w:tcPr>
            <w:tcW w:w="1620" w:type="dxa"/>
            <w:shd w:val="clear" w:color="auto" w:fill="auto"/>
          </w:tcPr>
          <w:p w14:paraId="699B2215" w14:textId="77777777" w:rsidR="00133B4B" w:rsidRDefault="00133B4B" w:rsidP="008E470A">
            <w:pPr>
              <w:jc w:val="both"/>
            </w:pPr>
          </w:p>
        </w:tc>
        <w:tc>
          <w:tcPr>
            <w:tcW w:w="1440" w:type="dxa"/>
            <w:shd w:val="clear" w:color="auto" w:fill="auto"/>
          </w:tcPr>
          <w:p w14:paraId="7F776348" w14:textId="77777777" w:rsidR="00133B4B" w:rsidRDefault="00133B4B" w:rsidP="008E470A">
            <w:pPr>
              <w:jc w:val="both"/>
            </w:pPr>
            <w:r>
              <w:t>1,646</w:t>
            </w:r>
          </w:p>
        </w:tc>
        <w:tc>
          <w:tcPr>
            <w:tcW w:w="747" w:type="dxa"/>
            <w:shd w:val="clear" w:color="auto" w:fill="auto"/>
          </w:tcPr>
          <w:p w14:paraId="2228B153" w14:textId="77777777" w:rsidR="00133B4B" w:rsidRDefault="00133B4B" w:rsidP="008E470A">
            <w:pPr>
              <w:jc w:val="both"/>
            </w:pPr>
          </w:p>
        </w:tc>
      </w:tr>
      <w:tr w:rsidR="00133B4B" w14:paraId="60EDA090" w14:textId="77777777" w:rsidTr="008E470A">
        <w:tc>
          <w:tcPr>
            <w:tcW w:w="4248" w:type="dxa"/>
            <w:shd w:val="clear" w:color="auto" w:fill="auto"/>
          </w:tcPr>
          <w:p w14:paraId="1F5FA561" w14:textId="77777777" w:rsidR="00133B4B" w:rsidRDefault="00133B4B" w:rsidP="008E470A">
            <w:pPr>
              <w:jc w:val="both"/>
            </w:pPr>
            <w:r>
              <w:t>Одноквартирні будинки з присадибною ділянкою з відсутністю двох видів благоустрою (опалення на твердому поливі)</w:t>
            </w:r>
          </w:p>
        </w:tc>
        <w:tc>
          <w:tcPr>
            <w:tcW w:w="1800" w:type="dxa"/>
            <w:shd w:val="clear" w:color="auto" w:fill="auto"/>
          </w:tcPr>
          <w:p w14:paraId="335840E6" w14:textId="77777777" w:rsidR="00133B4B" w:rsidRDefault="00133B4B" w:rsidP="008E470A">
            <w:pPr>
              <w:jc w:val="both"/>
            </w:pPr>
            <w:r>
              <w:t>1 мешканець</w:t>
            </w:r>
          </w:p>
        </w:tc>
        <w:tc>
          <w:tcPr>
            <w:tcW w:w="1620" w:type="dxa"/>
            <w:shd w:val="clear" w:color="auto" w:fill="auto"/>
          </w:tcPr>
          <w:p w14:paraId="5BBE760B" w14:textId="77777777" w:rsidR="00133B4B" w:rsidRDefault="00133B4B" w:rsidP="008E470A">
            <w:pPr>
              <w:jc w:val="both"/>
            </w:pPr>
          </w:p>
        </w:tc>
        <w:tc>
          <w:tcPr>
            <w:tcW w:w="1440" w:type="dxa"/>
            <w:shd w:val="clear" w:color="auto" w:fill="auto"/>
          </w:tcPr>
          <w:p w14:paraId="34C37091" w14:textId="77777777" w:rsidR="00133B4B" w:rsidRDefault="00133B4B" w:rsidP="008E470A">
            <w:pPr>
              <w:jc w:val="both"/>
            </w:pPr>
            <w:r>
              <w:t>2,099</w:t>
            </w:r>
          </w:p>
        </w:tc>
        <w:tc>
          <w:tcPr>
            <w:tcW w:w="747" w:type="dxa"/>
            <w:shd w:val="clear" w:color="auto" w:fill="auto"/>
          </w:tcPr>
          <w:p w14:paraId="48C24C15" w14:textId="77777777" w:rsidR="00133B4B" w:rsidRDefault="00133B4B" w:rsidP="008E470A">
            <w:pPr>
              <w:jc w:val="both"/>
            </w:pPr>
          </w:p>
        </w:tc>
      </w:tr>
      <w:tr w:rsidR="00133B4B" w14:paraId="4833CCF8" w14:textId="77777777" w:rsidTr="008E470A">
        <w:tc>
          <w:tcPr>
            <w:tcW w:w="4248" w:type="dxa"/>
            <w:shd w:val="clear" w:color="auto" w:fill="auto"/>
          </w:tcPr>
          <w:p w14:paraId="17359379" w14:textId="77777777" w:rsidR="00133B4B" w:rsidRDefault="00133B4B" w:rsidP="008E470A">
            <w:pPr>
              <w:jc w:val="both"/>
            </w:pPr>
            <w:r>
              <w:t>Школи</w:t>
            </w:r>
          </w:p>
        </w:tc>
        <w:tc>
          <w:tcPr>
            <w:tcW w:w="1800" w:type="dxa"/>
            <w:shd w:val="clear" w:color="auto" w:fill="auto"/>
          </w:tcPr>
          <w:p w14:paraId="7D6756A7" w14:textId="77777777" w:rsidR="00133B4B" w:rsidRDefault="00133B4B" w:rsidP="008E470A">
            <w:pPr>
              <w:jc w:val="both"/>
            </w:pPr>
            <w:r>
              <w:t>1 учень</w:t>
            </w:r>
          </w:p>
        </w:tc>
        <w:tc>
          <w:tcPr>
            <w:tcW w:w="1620" w:type="dxa"/>
            <w:shd w:val="clear" w:color="auto" w:fill="auto"/>
          </w:tcPr>
          <w:p w14:paraId="007452BC" w14:textId="77777777" w:rsidR="00133B4B" w:rsidRDefault="00133B4B" w:rsidP="008E470A">
            <w:pPr>
              <w:jc w:val="both"/>
            </w:pPr>
          </w:p>
        </w:tc>
        <w:tc>
          <w:tcPr>
            <w:tcW w:w="1440" w:type="dxa"/>
            <w:shd w:val="clear" w:color="auto" w:fill="auto"/>
          </w:tcPr>
          <w:p w14:paraId="0996B8C3" w14:textId="77777777" w:rsidR="00133B4B" w:rsidRDefault="00133B4B" w:rsidP="008E470A">
            <w:pPr>
              <w:jc w:val="both"/>
            </w:pPr>
            <w:r>
              <w:t>0,109</w:t>
            </w:r>
          </w:p>
        </w:tc>
        <w:tc>
          <w:tcPr>
            <w:tcW w:w="747" w:type="dxa"/>
            <w:shd w:val="clear" w:color="auto" w:fill="auto"/>
          </w:tcPr>
          <w:p w14:paraId="763AC8BC" w14:textId="77777777" w:rsidR="00133B4B" w:rsidRDefault="00133B4B" w:rsidP="008E470A">
            <w:pPr>
              <w:jc w:val="both"/>
            </w:pPr>
          </w:p>
        </w:tc>
      </w:tr>
      <w:tr w:rsidR="00133B4B" w14:paraId="57047D53" w14:textId="77777777" w:rsidTr="008E470A">
        <w:tc>
          <w:tcPr>
            <w:tcW w:w="4248" w:type="dxa"/>
            <w:shd w:val="clear" w:color="auto" w:fill="auto"/>
          </w:tcPr>
          <w:p w14:paraId="064B2149" w14:textId="77777777" w:rsidR="00133B4B" w:rsidRDefault="00133B4B" w:rsidP="008E470A">
            <w:pPr>
              <w:jc w:val="both"/>
            </w:pPr>
            <w:r>
              <w:t>Школи-інтернати, профтехучилище</w:t>
            </w:r>
          </w:p>
        </w:tc>
        <w:tc>
          <w:tcPr>
            <w:tcW w:w="1800" w:type="dxa"/>
            <w:shd w:val="clear" w:color="auto" w:fill="auto"/>
          </w:tcPr>
          <w:p w14:paraId="0B48A32C" w14:textId="77777777" w:rsidR="00133B4B" w:rsidRDefault="00133B4B" w:rsidP="008E470A">
            <w:pPr>
              <w:jc w:val="both"/>
            </w:pPr>
            <w:r>
              <w:t>1 учень</w:t>
            </w:r>
          </w:p>
        </w:tc>
        <w:tc>
          <w:tcPr>
            <w:tcW w:w="1620" w:type="dxa"/>
            <w:shd w:val="clear" w:color="auto" w:fill="auto"/>
          </w:tcPr>
          <w:p w14:paraId="7CA8848E" w14:textId="77777777" w:rsidR="00133B4B" w:rsidRDefault="00133B4B" w:rsidP="008E470A">
            <w:pPr>
              <w:jc w:val="both"/>
            </w:pPr>
          </w:p>
        </w:tc>
        <w:tc>
          <w:tcPr>
            <w:tcW w:w="1440" w:type="dxa"/>
            <w:shd w:val="clear" w:color="auto" w:fill="auto"/>
          </w:tcPr>
          <w:p w14:paraId="67F236EA" w14:textId="77777777" w:rsidR="00133B4B" w:rsidRDefault="00133B4B" w:rsidP="008E470A">
            <w:pPr>
              <w:jc w:val="both"/>
            </w:pPr>
            <w:r>
              <w:t>0,726</w:t>
            </w:r>
          </w:p>
        </w:tc>
        <w:tc>
          <w:tcPr>
            <w:tcW w:w="747" w:type="dxa"/>
            <w:shd w:val="clear" w:color="auto" w:fill="auto"/>
          </w:tcPr>
          <w:p w14:paraId="5231AE9C" w14:textId="77777777" w:rsidR="00133B4B" w:rsidRDefault="00133B4B" w:rsidP="008E470A">
            <w:pPr>
              <w:jc w:val="both"/>
            </w:pPr>
          </w:p>
        </w:tc>
      </w:tr>
      <w:tr w:rsidR="00133B4B" w14:paraId="5597CF86" w14:textId="77777777" w:rsidTr="008E470A">
        <w:tc>
          <w:tcPr>
            <w:tcW w:w="4248" w:type="dxa"/>
            <w:shd w:val="clear" w:color="auto" w:fill="auto"/>
          </w:tcPr>
          <w:p w14:paraId="6248AD25" w14:textId="77777777" w:rsidR="00133B4B" w:rsidRDefault="00133B4B" w:rsidP="008E470A">
            <w:pPr>
              <w:jc w:val="both"/>
            </w:pPr>
            <w:r>
              <w:t>Дитячі  дошкільні заклади</w:t>
            </w:r>
          </w:p>
        </w:tc>
        <w:tc>
          <w:tcPr>
            <w:tcW w:w="1800" w:type="dxa"/>
            <w:shd w:val="clear" w:color="auto" w:fill="auto"/>
          </w:tcPr>
          <w:p w14:paraId="19275609" w14:textId="77777777" w:rsidR="00133B4B" w:rsidRDefault="00133B4B" w:rsidP="008E470A">
            <w:pPr>
              <w:jc w:val="both"/>
            </w:pPr>
            <w:r>
              <w:t>1 місце</w:t>
            </w:r>
          </w:p>
        </w:tc>
        <w:tc>
          <w:tcPr>
            <w:tcW w:w="1620" w:type="dxa"/>
            <w:shd w:val="clear" w:color="auto" w:fill="auto"/>
          </w:tcPr>
          <w:p w14:paraId="151C58D6" w14:textId="77777777" w:rsidR="00133B4B" w:rsidRDefault="00133B4B" w:rsidP="008E470A">
            <w:pPr>
              <w:jc w:val="both"/>
            </w:pPr>
          </w:p>
        </w:tc>
        <w:tc>
          <w:tcPr>
            <w:tcW w:w="1440" w:type="dxa"/>
            <w:shd w:val="clear" w:color="auto" w:fill="auto"/>
          </w:tcPr>
          <w:p w14:paraId="7B88BABE" w14:textId="77777777" w:rsidR="00133B4B" w:rsidRDefault="00133B4B" w:rsidP="008E470A">
            <w:pPr>
              <w:jc w:val="both"/>
            </w:pPr>
            <w:r>
              <w:t>0,311</w:t>
            </w:r>
          </w:p>
        </w:tc>
        <w:tc>
          <w:tcPr>
            <w:tcW w:w="747" w:type="dxa"/>
            <w:shd w:val="clear" w:color="auto" w:fill="auto"/>
          </w:tcPr>
          <w:p w14:paraId="47710349" w14:textId="77777777" w:rsidR="00133B4B" w:rsidRDefault="00133B4B" w:rsidP="008E470A">
            <w:pPr>
              <w:jc w:val="both"/>
            </w:pPr>
          </w:p>
        </w:tc>
      </w:tr>
      <w:tr w:rsidR="00133B4B" w14:paraId="66442578" w14:textId="77777777" w:rsidTr="008E470A">
        <w:tc>
          <w:tcPr>
            <w:tcW w:w="4248" w:type="dxa"/>
            <w:shd w:val="clear" w:color="auto" w:fill="auto"/>
          </w:tcPr>
          <w:p w14:paraId="3C0136E0" w14:textId="77777777" w:rsidR="00133B4B" w:rsidRDefault="00133B4B" w:rsidP="008E470A">
            <w:pPr>
              <w:jc w:val="both"/>
            </w:pPr>
            <w:r>
              <w:t>Вищий і середній спеціальний заклад</w:t>
            </w:r>
          </w:p>
        </w:tc>
        <w:tc>
          <w:tcPr>
            <w:tcW w:w="1800" w:type="dxa"/>
            <w:shd w:val="clear" w:color="auto" w:fill="auto"/>
          </w:tcPr>
          <w:p w14:paraId="15A2F822" w14:textId="77777777" w:rsidR="00133B4B" w:rsidRDefault="00133B4B" w:rsidP="008E470A">
            <w:pPr>
              <w:jc w:val="both"/>
            </w:pPr>
            <w:r>
              <w:t>1 студент</w:t>
            </w:r>
          </w:p>
        </w:tc>
        <w:tc>
          <w:tcPr>
            <w:tcW w:w="1620" w:type="dxa"/>
            <w:shd w:val="clear" w:color="auto" w:fill="auto"/>
          </w:tcPr>
          <w:p w14:paraId="2815F224" w14:textId="77777777" w:rsidR="00133B4B" w:rsidRDefault="00133B4B" w:rsidP="008E470A">
            <w:pPr>
              <w:jc w:val="both"/>
            </w:pPr>
          </w:p>
        </w:tc>
        <w:tc>
          <w:tcPr>
            <w:tcW w:w="1440" w:type="dxa"/>
            <w:shd w:val="clear" w:color="auto" w:fill="auto"/>
          </w:tcPr>
          <w:p w14:paraId="6CF714FC" w14:textId="77777777" w:rsidR="00133B4B" w:rsidRDefault="00133B4B" w:rsidP="008E470A">
            <w:pPr>
              <w:jc w:val="both"/>
            </w:pPr>
            <w:r>
              <w:t>0,132</w:t>
            </w:r>
          </w:p>
        </w:tc>
        <w:tc>
          <w:tcPr>
            <w:tcW w:w="747" w:type="dxa"/>
            <w:shd w:val="clear" w:color="auto" w:fill="auto"/>
          </w:tcPr>
          <w:p w14:paraId="5DECF371" w14:textId="77777777" w:rsidR="00133B4B" w:rsidRDefault="00133B4B" w:rsidP="008E470A">
            <w:pPr>
              <w:jc w:val="both"/>
            </w:pPr>
          </w:p>
        </w:tc>
      </w:tr>
      <w:tr w:rsidR="00133B4B" w14:paraId="5E2E0D75" w14:textId="77777777" w:rsidTr="008E470A">
        <w:tc>
          <w:tcPr>
            <w:tcW w:w="4248" w:type="dxa"/>
            <w:shd w:val="clear" w:color="auto" w:fill="auto"/>
          </w:tcPr>
          <w:p w14:paraId="5F5E4A41" w14:textId="77777777" w:rsidR="00133B4B" w:rsidRDefault="00133B4B" w:rsidP="008E470A">
            <w:pPr>
              <w:jc w:val="both"/>
            </w:pPr>
            <w:r>
              <w:lastRenderedPageBreak/>
              <w:t>Адміністративні установи та організації</w:t>
            </w:r>
          </w:p>
        </w:tc>
        <w:tc>
          <w:tcPr>
            <w:tcW w:w="1800" w:type="dxa"/>
            <w:shd w:val="clear" w:color="auto" w:fill="auto"/>
          </w:tcPr>
          <w:p w14:paraId="3F537B67" w14:textId="77777777" w:rsidR="00133B4B" w:rsidRDefault="00133B4B" w:rsidP="008E470A">
            <w:pPr>
              <w:jc w:val="both"/>
            </w:pPr>
            <w:r>
              <w:t>1 робоче місце</w:t>
            </w:r>
          </w:p>
        </w:tc>
        <w:tc>
          <w:tcPr>
            <w:tcW w:w="1620" w:type="dxa"/>
            <w:shd w:val="clear" w:color="auto" w:fill="auto"/>
          </w:tcPr>
          <w:p w14:paraId="00B1E574" w14:textId="77777777" w:rsidR="00133B4B" w:rsidRDefault="00133B4B" w:rsidP="008E470A">
            <w:pPr>
              <w:jc w:val="both"/>
            </w:pPr>
          </w:p>
        </w:tc>
        <w:tc>
          <w:tcPr>
            <w:tcW w:w="1440" w:type="dxa"/>
            <w:shd w:val="clear" w:color="auto" w:fill="auto"/>
          </w:tcPr>
          <w:p w14:paraId="43BC4E1C" w14:textId="77777777" w:rsidR="00133B4B" w:rsidRDefault="00133B4B" w:rsidP="008E470A">
            <w:pPr>
              <w:jc w:val="both"/>
            </w:pPr>
            <w:r>
              <w:t>0,619</w:t>
            </w:r>
          </w:p>
        </w:tc>
        <w:tc>
          <w:tcPr>
            <w:tcW w:w="747" w:type="dxa"/>
            <w:shd w:val="clear" w:color="auto" w:fill="auto"/>
          </w:tcPr>
          <w:p w14:paraId="2A0D6024" w14:textId="77777777" w:rsidR="00133B4B" w:rsidRDefault="00133B4B" w:rsidP="008E470A">
            <w:pPr>
              <w:jc w:val="both"/>
            </w:pPr>
          </w:p>
        </w:tc>
      </w:tr>
      <w:tr w:rsidR="00133B4B" w14:paraId="25A71935" w14:textId="77777777" w:rsidTr="008E470A">
        <w:tc>
          <w:tcPr>
            <w:tcW w:w="4248" w:type="dxa"/>
            <w:shd w:val="clear" w:color="auto" w:fill="auto"/>
          </w:tcPr>
          <w:p w14:paraId="27C72D2D" w14:textId="77777777" w:rsidR="00133B4B" w:rsidRDefault="00133B4B" w:rsidP="008E470A">
            <w:pPr>
              <w:jc w:val="both"/>
            </w:pPr>
            <w:r>
              <w:t>Продовольчі магазини, ларьок, кіоски (супермаркет)</w:t>
            </w:r>
          </w:p>
        </w:tc>
        <w:tc>
          <w:tcPr>
            <w:tcW w:w="1800" w:type="dxa"/>
            <w:shd w:val="clear" w:color="auto" w:fill="auto"/>
          </w:tcPr>
          <w:p w14:paraId="1F1CF1DD" w14:textId="77777777" w:rsidR="00133B4B" w:rsidRDefault="00133B4B" w:rsidP="008E470A">
            <w:pPr>
              <w:jc w:val="both"/>
            </w:pPr>
            <w:r>
              <w:t>1 кв. м. площі</w:t>
            </w:r>
          </w:p>
        </w:tc>
        <w:tc>
          <w:tcPr>
            <w:tcW w:w="1620" w:type="dxa"/>
            <w:shd w:val="clear" w:color="auto" w:fill="auto"/>
          </w:tcPr>
          <w:p w14:paraId="34776EF2" w14:textId="77777777" w:rsidR="00133B4B" w:rsidRDefault="00133B4B" w:rsidP="008E470A">
            <w:pPr>
              <w:jc w:val="both"/>
            </w:pPr>
          </w:p>
        </w:tc>
        <w:tc>
          <w:tcPr>
            <w:tcW w:w="1440" w:type="dxa"/>
            <w:shd w:val="clear" w:color="auto" w:fill="auto"/>
          </w:tcPr>
          <w:p w14:paraId="64E81493" w14:textId="77777777" w:rsidR="00133B4B" w:rsidRDefault="00133B4B" w:rsidP="008E470A">
            <w:pPr>
              <w:jc w:val="both"/>
            </w:pPr>
            <w:r>
              <w:t>0,588</w:t>
            </w:r>
          </w:p>
        </w:tc>
        <w:tc>
          <w:tcPr>
            <w:tcW w:w="747" w:type="dxa"/>
            <w:shd w:val="clear" w:color="auto" w:fill="auto"/>
          </w:tcPr>
          <w:p w14:paraId="366A435D" w14:textId="77777777" w:rsidR="00133B4B" w:rsidRDefault="00133B4B" w:rsidP="008E470A">
            <w:pPr>
              <w:jc w:val="both"/>
            </w:pPr>
          </w:p>
        </w:tc>
      </w:tr>
      <w:tr w:rsidR="00133B4B" w14:paraId="7DC0E8A7" w14:textId="77777777" w:rsidTr="008E470A">
        <w:tc>
          <w:tcPr>
            <w:tcW w:w="4248" w:type="dxa"/>
            <w:shd w:val="clear" w:color="auto" w:fill="auto"/>
          </w:tcPr>
          <w:p w14:paraId="167ED89A" w14:textId="77777777" w:rsidR="00133B4B" w:rsidRDefault="00133B4B" w:rsidP="008E470A">
            <w:pPr>
              <w:jc w:val="both"/>
            </w:pPr>
            <w:r>
              <w:t>Промтоварні магазини, ларьок, кіоски</w:t>
            </w:r>
          </w:p>
        </w:tc>
        <w:tc>
          <w:tcPr>
            <w:tcW w:w="1800" w:type="dxa"/>
            <w:shd w:val="clear" w:color="auto" w:fill="auto"/>
          </w:tcPr>
          <w:p w14:paraId="1B485753" w14:textId="77777777" w:rsidR="00133B4B" w:rsidRDefault="00133B4B" w:rsidP="008E470A">
            <w:pPr>
              <w:jc w:val="both"/>
            </w:pPr>
            <w:r>
              <w:t>1 кв. м. площі</w:t>
            </w:r>
          </w:p>
        </w:tc>
        <w:tc>
          <w:tcPr>
            <w:tcW w:w="1620" w:type="dxa"/>
            <w:shd w:val="clear" w:color="auto" w:fill="auto"/>
          </w:tcPr>
          <w:p w14:paraId="414ADAA7" w14:textId="77777777" w:rsidR="00133B4B" w:rsidRDefault="00133B4B" w:rsidP="008E470A">
            <w:pPr>
              <w:jc w:val="both"/>
            </w:pPr>
          </w:p>
        </w:tc>
        <w:tc>
          <w:tcPr>
            <w:tcW w:w="1440" w:type="dxa"/>
            <w:shd w:val="clear" w:color="auto" w:fill="auto"/>
          </w:tcPr>
          <w:p w14:paraId="6FB307CA" w14:textId="77777777" w:rsidR="00133B4B" w:rsidRDefault="00133B4B" w:rsidP="008E470A">
            <w:pPr>
              <w:jc w:val="both"/>
            </w:pPr>
            <w:r>
              <w:t>0,229</w:t>
            </w:r>
          </w:p>
        </w:tc>
        <w:tc>
          <w:tcPr>
            <w:tcW w:w="747" w:type="dxa"/>
            <w:shd w:val="clear" w:color="auto" w:fill="auto"/>
          </w:tcPr>
          <w:p w14:paraId="423EC964" w14:textId="77777777" w:rsidR="00133B4B" w:rsidRDefault="00133B4B" w:rsidP="008E470A">
            <w:pPr>
              <w:jc w:val="both"/>
            </w:pPr>
          </w:p>
        </w:tc>
      </w:tr>
    </w:tbl>
    <w:p w14:paraId="6CAA3B03" w14:textId="77777777" w:rsidR="00133B4B" w:rsidRDefault="00133B4B" w:rsidP="00133B4B">
      <w:pPr>
        <w:jc w:val="both"/>
      </w:pPr>
      <w:r>
        <w:t xml:space="preserve">       Діючі норми накопичення відходів не відповідають фактичним.</w:t>
      </w:r>
    </w:p>
    <w:p w14:paraId="59A6D51B" w14:textId="77777777" w:rsidR="00133B4B" w:rsidRDefault="00133B4B" w:rsidP="00133B4B">
      <w:pPr>
        <w:jc w:val="both"/>
      </w:pPr>
      <w:r>
        <w:t xml:space="preserve">       Послуги з поводження з побутовими відходами надаються на підставі укладених договорів між фізичними та/або юридичними, іншими особами та виконавцем послуг, де обсяг послуг розраховується згідно затверджених норм утворення побутових відходів, затверджених органом місцевого самоврядування. Плата за надані послуги нараховується щомісячно відповідно до умов договору і затверджених тарифів, що формуються відповідно до постанови Кабінету Міністрів України від 26.07.2006р №1010 із змінами та доповненнями. </w:t>
      </w:r>
    </w:p>
    <w:p w14:paraId="704A3FC0" w14:textId="77777777" w:rsidR="00133B4B" w:rsidRDefault="00133B4B" w:rsidP="00133B4B">
      <w:pPr>
        <w:jc w:val="both"/>
      </w:pPr>
      <w:r>
        <w:t xml:space="preserve">       З метою визначення об’ємів утворення твердих побутових відходів були проведені  фактичні заміри, проведення фактичних розрахунків норм їх утворення з урахуванням останніх нормативно-правових та аналітичних джерел.</w:t>
      </w:r>
    </w:p>
    <w:p w14:paraId="6B7CABDF" w14:textId="77777777" w:rsidR="00133B4B" w:rsidRDefault="00133B4B" w:rsidP="00133B4B">
      <w:pPr>
        <w:jc w:val="both"/>
      </w:pPr>
      <w:r>
        <w:t xml:space="preserve">       Вищезазначена проблема не може бути розв’язана за допомогою ринкового механізму, оскільки чинне законодавство України чітко визначає повноваження органу місцевого самоврядування щодо затвердження норм надання послуг із вивезення побутових відходів.</w:t>
      </w:r>
    </w:p>
    <w:p w14:paraId="28DA856C" w14:textId="77777777" w:rsidR="00133B4B" w:rsidRDefault="00133B4B" w:rsidP="00133B4B">
      <w:pPr>
        <w:jc w:val="both"/>
      </w:pPr>
      <w:r>
        <w:t xml:space="preserve">        Дія даного регуляторного акта поширюється на Острозьку об’єднану територіальну громаду, суб’єктів господарювання та інших.</w:t>
      </w:r>
    </w:p>
    <w:p w14:paraId="623D3A01" w14:textId="77777777" w:rsidR="00133B4B" w:rsidRDefault="00133B4B" w:rsidP="00133B4B">
      <w:pPr>
        <w:jc w:val="both"/>
      </w:pPr>
      <w:r>
        <w:t xml:space="preserve">        Основні 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1"/>
        <w:gridCol w:w="2044"/>
        <w:gridCol w:w="2059"/>
      </w:tblGrid>
      <w:tr w:rsidR="00133B4B" w14:paraId="02A06B49" w14:textId="77777777" w:rsidTr="008E470A">
        <w:tc>
          <w:tcPr>
            <w:tcW w:w="5508" w:type="dxa"/>
            <w:shd w:val="clear" w:color="auto" w:fill="auto"/>
          </w:tcPr>
          <w:p w14:paraId="61E713ED" w14:textId="77777777" w:rsidR="00133B4B" w:rsidRDefault="00133B4B" w:rsidP="008E470A">
            <w:pPr>
              <w:jc w:val="center"/>
            </w:pPr>
            <w:r>
              <w:t>Групи</w:t>
            </w:r>
          </w:p>
        </w:tc>
        <w:tc>
          <w:tcPr>
            <w:tcW w:w="2160" w:type="dxa"/>
            <w:shd w:val="clear" w:color="auto" w:fill="auto"/>
          </w:tcPr>
          <w:p w14:paraId="78F44396" w14:textId="77777777" w:rsidR="00133B4B" w:rsidRDefault="00133B4B" w:rsidP="008E470A">
            <w:pPr>
              <w:jc w:val="center"/>
            </w:pPr>
            <w:r>
              <w:t>Так</w:t>
            </w:r>
          </w:p>
        </w:tc>
        <w:tc>
          <w:tcPr>
            <w:tcW w:w="2187" w:type="dxa"/>
            <w:shd w:val="clear" w:color="auto" w:fill="auto"/>
          </w:tcPr>
          <w:p w14:paraId="4DD1BF30" w14:textId="77777777" w:rsidR="00133B4B" w:rsidRDefault="00133B4B" w:rsidP="008E470A">
            <w:pPr>
              <w:jc w:val="center"/>
            </w:pPr>
            <w:r>
              <w:t>Ні</w:t>
            </w:r>
          </w:p>
        </w:tc>
      </w:tr>
      <w:tr w:rsidR="00133B4B" w14:paraId="605DB933" w14:textId="77777777" w:rsidTr="008E470A">
        <w:tc>
          <w:tcPr>
            <w:tcW w:w="5508" w:type="dxa"/>
            <w:shd w:val="clear" w:color="auto" w:fill="auto"/>
          </w:tcPr>
          <w:p w14:paraId="5F4070A3" w14:textId="77777777" w:rsidR="00133B4B" w:rsidRPr="000042AA" w:rsidRDefault="00133B4B" w:rsidP="008E470A">
            <w:pPr>
              <w:jc w:val="both"/>
              <w:rPr>
                <w:lang w:val="ru-RU"/>
              </w:rPr>
            </w:pPr>
            <w:r w:rsidRPr="000042AA">
              <w:rPr>
                <w:lang w:val="ru-RU"/>
              </w:rPr>
              <w:t>Населення</w:t>
            </w:r>
          </w:p>
        </w:tc>
        <w:tc>
          <w:tcPr>
            <w:tcW w:w="2160" w:type="dxa"/>
            <w:shd w:val="clear" w:color="auto" w:fill="auto"/>
          </w:tcPr>
          <w:p w14:paraId="462E01FF" w14:textId="77777777" w:rsidR="00133B4B" w:rsidRPr="000042AA" w:rsidRDefault="00133B4B" w:rsidP="008E470A">
            <w:pPr>
              <w:jc w:val="center"/>
              <w:rPr>
                <w:lang w:val="ru-RU"/>
              </w:rPr>
            </w:pPr>
            <w:r w:rsidRPr="000042AA">
              <w:rPr>
                <w:lang w:val="ru-RU"/>
              </w:rPr>
              <w:t>+</w:t>
            </w:r>
          </w:p>
        </w:tc>
        <w:tc>
          <w:tcPr>
            <w:tcW w:w="2187" w:type="dxa"/>
            <w:shd w:val="clear" w:color="auto" w:fill="auto"/>
          </w:tcPr>
          <w:p w14:paraId="6E0F69E0" w14:textId="77777777" w:rsidR="00133B4B" w:rsidRPr="000042AA" w:rsidRDefault="00133B4B" w:rsidP="008E470A">
            <w:pPr>
              <w:jc w:val="center"/>
              <w:rPr>
                <w:lang w:val="ru-RU"/>
              </w:rPr>
            </w:pPr>
            <w:r w:rsidRPr="000042AA">
              <w:rPr>
                <w:lang w:val="ru-RU"/>
              </w:rPr>
              <w:t>-</w:t>
            </w:r>
          </w:p>
        </w:tc>
      </w:tr>
      <w:tr w:rsidR="00133B4B" w14:paraId="6C61FBD8" w14:textId="77777777" w:rsidTr="008E470A">
        <w:tc>
          <w:tcPr>
            <w:tcW w:w="5508" w:type="dxa"/>
            <w:shd w:val="clear" w:color="auto" w:fill="auto"/>
          </w:tcPr>
          <w:p w14:paraId="0696B911" w14:textId="77777777" w:rsidR="00133B4B" w:rsidRPr="00163EEF" w:rsidRDefault="00133B4B" w:rsidP="008E470A">
            <w:pPr>
              <w:jc w:val="both"/>
            </w:pPr>
            <w:r w:rsidRPr="00163EEF">
              <w:t xml:space="preserve">Органи місцевого </w:t>
            </w:r>
            <w:r>
              <w:t>самоврядування</w:t>
            </w:r>
          </w:p>
        </w:tc>
        <w:tc>
          <w:tcPr>
            <w:tcW w:w="2160" w:type="dxa"/>
            <w:shd w:val="clear" w:color="auto" w:fill="auto"/>
          </w:tcPr>
          <w:p w14:paraId="5F4664FD" w14:textId="77777777" w:rsidR="00133B4B" w:rsidRPr="000042AA" w:rsidRDefault="00133B4B" w:rsidP="008E470A">
            <w:pPr>
              <w:jc w:val="center"/>
              <w:rPr>
                <w:lang w:val="ru-RU"/>
              </w:rPr>
            </w:pPr>
            <w:r w:rsidRPr="000042AA">
              <w:rPr>
                <w:lang w:val="ru-RU"/>
              </w:rPr>
              <w:t>+</w:t>
            </w:r>
          </w:p>
        </w:tc>
        <w:tc>
          <w:tcPr>
            <w:tcW w:w="2187" w:type="dxa"/>
            <w:shd w:val="clear" w:color="auto" w:fill="auto"/>
          </w:tcPr>
          <w:p w14:paraId="2A9D375F" w14:textId="77777777" w:rsidR="00133B4B" w:rsidRPr="000042AA" w:rsidRDefault="00133B4B" w:rsidP="008E470A">
            <w:pPr>
              <w:jc w:val="center"/>
              <w:rPr>
                <w:lang w:val="ru-RU"/>
              </w:rPr>
            </w:pPr>
            <w:r w:rsidRPr="000042AA">
              <w:rPr>
                <w:lang w:val="ru-RU"/>
              </w:rPr>
              <w:t>-</w:t>
            </w:r>
          </w:p>
        </w:tc>
      </w:tr>
      <w:tr w:rsidR="00133B4B" w14:paraId="5994A629" w14:textId="77777777" w:rsidTr="008E470A">
        <w:tc>
          <w:tcPr>
            <w:tcW w:w="5508" w:type="dxa"/>
            <w:shd w:val="clear" w:color="auto" w:fill="auto"/>
          </w:tcPr>
          <w:p w14:paraId="0607807D" w14:textId="77777777" w:rsidR="00133B4B" w:rsidRPr="00163EEF" w:rsidRDefault="00133B4B" w:rsidP="008E470A">
            <w:pPr>
              <w:jc w:val="both"/>
            </w:pPr>
            <w:r>
              <w:t>Суб’єкти господарювання</w:t>
            </w:r>
          </w:p>
        </w:tc>
        <w:tc>
          <w:tcPr>
            <w:tcW w:w="2160" w:type="dxa"/>
            <w:shd w:val="clear" w:color="auto" w:fill="auto"/>
          </w:tcPr>
          <w:p w14:paraId="68D8E7FE" w14:textId="77777777" w:rsidR="00133B4B" w:rsidRPr="000042AA" w:rsidRDefault="00133B4B" w:rsidP="008E470A">
            <w:pPr>
              <w:jc w:val="center"/>
              <w:rPr>
                <w:lang w:val="ru-RU"/>
              </w:rPr>
            </w:pPr>
            <w:r w:rsidRPr="000042AA">
              <w:rPr>
                <w:lang w:val="ru-RU"/>
              </w:rPr>
              <w:t>+</w:t>
            </w:r>
          </w:p>
        </w:tc>
        <w:tc>
          <w:tcPr>
            <w:tcW w:w="2187" w:type="dxa"/>
            <w:shd w:val="clear" w:color="auto" w:fill="auto"/>
          </w:tcPr>
          <w:p w14:paraId="6448D808" w14:textId="77777777" w:rsidR="00133B4B" w:rsidRPr="000042AA" w:rsidRDefault="00133B4B" w:rsidP="008E470A">
            <w:pPr>
              <w:jc w:val="center"/>
              <w:rPr>
                <w:lang w:val="ru-RU"/>
              </w:rPr>
            </w:pPr>
            <w:r w:rsidRPr="000042AA">
              <w:rPr>
                <w:lang w:val="ru-RU"/>
              </w:rPr>
              <w:t>-</w:t>
            </w:r>
          </w:p>
        </w:tc>
      </w:tr>
    </w:tbl>
    <w:p w14:paraId="36B76B61" w14:textId="77777777" w:rsidR="00133B4B" w:rsidRDefault="00133B4B" w:rsidP="00133B4B">
      <w:pPr>
        <w:jc w:val="both"/>
      </w:pPr>
    </w:p>
    <w:p w14:paraId="359F4513" w14:textId="77777777" w:rsidR="00133B4B" w:rsidRPr="00EC7CB8" w:rsidRDefault="00133B4B" w:rsidP="00133B4B">
      <w:pPr>
        <w:jc w:val="center"/>
        <w:rPr>
          <w:b/>
        </w:rPr>
      </w:pPr>
      <w:r w:rsidRPr="00EC7CB8">
        <w:rPr>
          <w:b/>
        </w:rPr>
        <w:t>ІІ.  Цілі державного регулювання</w:t>
      </w:r>
    </w:p>
    <w:p w14:paraId="3A29C5C4" w14:textId="77777777" w:rsidR="00133B4B" w:rsidRDefault="00133B4B" w:rsidP="00133B4B">
      <w:pPr>
        <w:jc w:val="both"/>
      </w:pPr>
      <w:r>
        <w:tab/>
        <w:t>Основними цілями даного регулювання є реалізація державної політики в сфері поводження з побутовими відходами, встановлення економічно обґрунтованих норм надання послуг з вивезення побутових відходів, що застосовується у практичній діяльності органів місцевого самоврядування, виконавців таких послуг у сфері поводження з побутовими відходами, споживачів відповідних послуг.</w:t>
      </w:r>
    </w:p>
    <w:p w14:paraId="6F94BE33" w14:textId="77777777" w:rsidR="00133B4B" w:rsidRDefault="00133B4B" w:rsidP="00133B4B">
      <w:pPr>
        <w:jc w:val="both"/>
      </w:pPr>
      <w:r>
        <w:tab/>
        <w:t>Встановлення економічно обґрунтованих норм надання послуг з вивезення побутових відходів допоможе також опосередковано досягти наступних цілей:</w:t>
      </w:r>
    </w:p>
    <w:p w14:paraId="3851AE1A" w14:textId="77777777" w:rsidR="00133B4B" w:rsidRDefault="00133B4B" w:rsidP="00133B4B">
      <w:pPr>
        <w:numPr>
          <w:ilvl w:val="0"/>
          <w:numId w:val="18"/>
        </w:numPr>
        <w:jc w:val="both"/>
      </w:pPr>
      <w:r>
        <w:t>затвердження норм надання послуг з вивезення побутових відходів;</w:t>
      </w:r>
    </w:p>
    <w:p w14:paraId="3090F3C9" w14:textId="77777777" w:rsidR="00133B4B" w:rsidRDefault="00133B4B" w:rsidP="00133B4B">
      <w:pPr>
        <w:numPr>
          <w:ilvl w:val="0"/>
          <w:numId w:val="18"/>
        </w:numPr>
        <w:jc w:val="both"/>
      </w:pPr>
      <w:r>
        <w:t xml:space="preserve">створення відповідних умов для забезпечення споживачів якісними послугами з організації збирання, вивезення побутових відходів, що утворюються на території Острозької ОТГ;  </w:t>
      </w:r>
    </w:p>
    <w:p w14:paraId="43E545C7" w14:textId="77777777" w:rsidR="00133B4B" w:rsidRDefault="00133B4B" w:rsidP="00133B4B">
      <w:pPr>
        <w:numPr>
          <w:ilvl w:val="0"/>
          <w:numId w:val="18"/>
        </w:numPr>
        <w:jc w:val="both"/>
      </w:pPr>
      <w:r>
        <w:t>покращення екологічної та санітарно-епідеміологічної ситуації в Острозькій ОТГ;</w:t>
      </w:r>
    </w:p>
    <w:p w14:paraId="4DB2C260" w14:textId="77777777" w:rsidR="00133B4B" w:rsidRDefault="00133B4B" w:rsidP="00133B4B">
      <w:pPr>
        <w:numPr>
          <w:ilvl w:val="0"/>
          <w:numId w:val="18"/>
        </w:numPr>
        <w:jc w:val="both"/>
      </w:pPr>
      <w:r>
        <w:t>реалізації державної політики в сфері поводження з побутовими відходами.</w:t>
      </w:r>
    </w:p>
    <w:p w14:paraId="5DD7C9F8" w14:textId="77777777" w:rsidR="00133B4B" w:rsidRDefault="00133B4B" w:rsidP="00133B4B">
      <w:pPr>
        <w:jc w:val="both"/>
      </w:pPr>
      <w:r>
        <w:tab/>
      </w:r>
    </w:p>
    <w:p w14:paraId="3A6C1AEB" w14:textId="77777777" w:rsidR="00133B4B" w:rsidRPr="00E86CD7" w:rsidRDefault="00133B4B" w:rsidP="00133B4B">
      <w:pPr>
        <w:jc w:val="center"/>
        <w:rPr>
          <w:b/>
        </w:rPr>
      </w:pPr>
      <w:r w:rsidRPr="00E86CD7">
        <w:rPr>
          <w:b/>
        </w:rPr>
        <w:t>ІІІ. Визначення альтернативних способів досягнення цілей</w:t>
      </w:r>
    </w:p>
    <w:p w14:paraId="60516B75" w14:textId="77777777" w:rsidR="00133B4B" w:rsidRDefault="00133B4B" w:rsidP="00133B4B">
      <w:r>
        <w:tab/>
        <w:t>1. Для досягнення визначених цілей під час розробки проекту рішення було розглянуто наступні альтернативні способи вирішення проблеми: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794"/>
      </w:tblGrid>
      <w:tr w:rsidR="00133B4B" w14:paraId="7E49AB60" w14:textId="77777777" w:rsidTr="008E470A">
        <w:tc>
          <w:tcPr>
            <w:tcW w:w="2628" w:type="dxa"/>
            <w:shd w:val="clear" w:color="auto" w:fill="auto"/>
          </w:tcPr>
          <w:p w14:paraId="2E944949" w14:textId="77777777" w:rsidR="00133B4B" w:rsidRDefault="00133B4B" w:rsidP="008E470A">
            <w:pPr>
              <w:jc w:val="center"/>
            </w:pPr>
            <w:r>
              <w:t>Вид альтернативи</w:t>
            </w:r>
          </w:p>
        </w:tc>
        <w:tc>
          <w:tcPr>
            <w:tcW w:w="7227" w:type="dxa"/>
            <w:shd w:val="clear" w:color="auto" w:fill="auto"/>
          </w:tcPr>
          <w:p w14:paraId="09CC50F0" w14:textId="77777777" w:rsidR="00133B4B" w:rsidRDefault="00133B4B" w:rsidP="008E470A">
            <w:pPr>
              <w:jc w:val="center"/>
            </w:pPr>
            <w:r>
              <w:t>Опис альтернативи</w:t>
            </w:r>
          </w:p>
        </w:tc>
      </w:tr>
      <w:tr w:rsidR="00133B4B" w14:paraId="18C68760" w14:textId="77777777" w:rsidTr="008E470A">
        <w:tc>
          <w:tcPr>
            <w:tcW w:w="2628" w:type="dxa"/>
            <w:shd w:val="clear" w:color="auto" w:fill="auto"/>
          </w:tcPr>
          <w:p w14:paraId="6B4077CF" w14:textId="77777777" w:rsidR="00133B4B" w:rsidRDefault="00133B4B" w:rsidP="008E470A">
            <w:r>
              <w:t>Альтернатива 1</w:t>
            </w:r>
          </w:p>
        </w:tc>
        <w:tc>
          <w:tcPr>
            <w:tcW w:w="7227" w:type="dxa"/>
            <w:shd w:val="clear" w:color="auto" w:fill="auto"/>
          </w:tcPr>
          <w:p w14:paraId="23413CCF" w14:textId="77777777" w:rsidR="00133B4B" w:rsidRDefault="00133B4B" w:rsidP="008E470A">
            <w:r>
              <w:t>Застосування нерегулярних механізмів (ринкові механізму) – альтернативу відхилено у зв’язку з тим, що ринковий механізм не визначає середньорічну норму надання послуг із вивезення побутових відходів</w:t>
            </w:r>
          </w:p>
        </w:tc>
      </w:tr>
      <w:tr w:rsidR="00133B4B" w14:paraId="57074247" w14:textId="77777777" w:rsidTr="008E470A">
        <w:tc>
          <w:tcPr>
            <w:tcW w:w="2628" w:type="dxa"/>
            <w:shd w:val="clear" w:color="auto" w:fill="auto"/>
          </w:tcPr>
          <w:p w14:paraId="13442DDE" w14:textId="77777777" w:rsidR="00133B4B" w:rsidRDefault="00133B4B" w:rsidP="008E470A">
            <w:r>
              <w:t>Альтернатива 2</w:t>
            </w:r>
          </w:p>
        </w:tc>
        <w:tc>
          <w:tcPr>
            <w:tcW w:w="7227" w:type="dxa"/>
            <w:shd w:val="clear" w:color="auto" w:fill="auto"/>
          </w:tcPr>
          <w:p w14:paraId="39A055C5" w14:textId="77777777" w:rsidR="00133B4B" w:rsidRDefault="00133B4B" w:rsidP="008E470A">
            <w:r>
              <w:t xml:space="preserve">Прийняття даного регуляторного акта – альтернатива є прийнятою, так як досягає мети регулювання та відповідає нормам чинного законодавства </w:t>
            </w:r>
          </w:p>
        </w:tc>
      </w:tr>
    </w:tbl>
    <w:p w14:paraId="4C868438" w14:textId="77777777" w:rsidR="00133B4B" w:rsidRDefault="00133B4B" w:rsidP="00133B4B"/>
    <w:p w14:paraId="5F8B3DCC" w14:textId="77777777" w:rsidR="00133B4B" w:rsidRDefault="00133B4B" w:rsidP="00133B4B">
      <w:r>
        <w:lastRenderedPageBreak/>
        <w:tab/>
        <w:t>2. Оцінка вибраних альтернативних способів досягнення цілей.</w:t>
      </w:r>
    </w:p>
    <w:p w14:paraId="7BCE92B2" w14:textId="77777777" w:rsidR="00133B4B" w:rsidRDefault="00133B4B" w:rsidP="00133B4B">
      <w:pPr>
        <w:jc w:val="both"/>
      </w:pPr>
      <w:r>
        <w:tab/>
        <w:t>Впровадження в дію даних альтернатив дає можливість отримати наступні вигоди та витрати:</w:t>
      </w:r>
    </w:p>
    <w:p w14:paraId="3EDEC3D4" w14:textId="77777777" w:rsidR="00133B4B" w:rsidRPr="00521353" w:rsidRDefault="00133B4B" w:rsidP="00133B4B">
      <w:pPr>
        <w:jc w:val="both"/>
        <w:rPr>
          <w:i/>
        </w:rPr>
      </w:pPr>
      <w:r>
        <w:t xml:space="preserve">     </w:t>
      </w:r>
      <w:r w:rsidRPr="00521353">
        <w:rPr>
          <w:i/>
        </w:rPr>
        <w:t>1). Оцінка впливу на сферу інтересів органів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251"/>
        <w:gridCol w:w="3589"/>
      </w:tblGrid>
      <w:tr w:rsidR="00133B4B" w14:paraId="252C8DC8" w14:textId="77777777" w:rsidTr="008E470A">
        <w:tc>
          <w:tcPr>
            <w:tcW w:w="2628" w:type="dxa"/>
            <w:shd w:val="clear" w:color="auto" w:fill="auto"/>
          </w:tcPr>
          <w:p w14:paraId="030B7DF3" w14:textId="77777777" w:rsidR="00133B4B" w:rsidRDefault="00133B4B" w:rsidP="008E470A">
            <w:pPr>
              <w:jc w:val="center"/>
            </w:pPr>
            <w:r>
              <w:t>Вид альтернативи</w:t>
            </w:r>
          </w:p>
        </w:tc>
        <w:tc>
          <w:tcPr>
            <w:tcW w:w="3420" w:type="dxa"/>
            <w:shd w:val="clear" w:color="auto" w:fill="auto"/>
          </w:tcPr>
          <w:p w14:paraId="6AEB9643" w14:textId="77777777" w:rsidR="00133B4B" w:rsidRDefault="00133B4B" w:rsidP="008E470A">
            <w:pPr>
              <w:jc w:val="center"/>
            </w:pPr>
            <w:r>
              <w:t>Вигоди</w:t>
            </w:r>
          </w:p>
        </w:tc>
        <w:tc>
          <w:tcPr>
            <w:tcW w:w="3807" w:type="dxa"/>
            <w:shd w:val="clear" w:color="auto" w:fill="auto"/>
          </w:tcPr>
          <w:p w14:paraId="6AF07104" w14:textId="77777777" w:rsidR="00133B4B" w:rsidRDefault="00133B4B" w:rsidP="008E470A">
            <w:pPr>
              <w:jc w:val="center"/>
            </w:pPr>
            <w:r>
              <w:t>Витрати</w:t>
            </w:r>
          </w:p>
        </w:tc>
      </w:tr>
      <w:tr w:rsidR="00133B4B" w14:paraId="448AF78D" w14:textId="77777777" w:rsidTr="008E470A">
        <w:tc>
          <w:tcPr>
            <w:tcW w:w="2628" w:type="dxa"/>
            <w:shd w:val="clear" w:color="auto" w:fill="auto"/>
          </w:tcPr>
          <w:p w14:paraId="3947F7B7" w14:textId="77777777" w:rsidR="00133B4B" w:rsidRDefault="00133B4B" w:rsidP="008E470A">
            <w:pPr>
              <w:jc w:val="both"/>
            </w:pPr>
            <w:r>
              <w:t>Альтернатива 1</w:t>
            </w:r>
          </w:p>
        </w:tc>
        <w:tc>
          <w:tcPr>
            <w:tcW w:w="3420" w:type="dxa"/>
            <w:shd w:val="clear" w:color="auto" w:fill="auto"/>
          </w:tcPr>
          <w:p w14:paraId="18F6FAF4" w14:textId="77777777" w:rsidR="00133B4B" w:rsidRDefault="00133B4B" w:rsidP="008E470A">
            <w:pPr>
              <w:jc w:val="both"/>
            </w:pPr>
            <w:r>
              <w:t xml:space="preserve"> Часткове вивезення побутових відходів, якщо залишити ситуацію без змін. </w:t>
            </w:r>
          </w:p>
        </w:tc>
        <w:tc>
          <w:tcPr>
            <w:tcW w:w="3807" w:type="dxa"/>
            <w:shd w:val="clear" w:color="auto" w:fill="auto"/>
          </w:tcPr>
          <w:p w14:paraId="56062374" w14:textId="77777777" w:rsidR="00133B4B" w:rsidRDefault="00133B4B" w:rsidP="008E470A">
            <w:pPr>
              <w:jc w:val="both"/>
            </w:pPr>
            <w:r>
              <w:t>Фінансування заходів на ліквідацію несанкціонованих сміттєзвалищ на території Острозької ОТГ. Погіршення санітарно - епідеміологічного стану території громади.</w:t>
            </w:r>
          </w:p>
        </w:tc>
      </w:tr>
      <w:tr w:rsidR="00133B4B" w14:paraId="76BAFC1F" w14:textId="77777777" w:rsidTr="008E470A">
        <w:tc>
          <w:tcPr>
            <w:tcW w:w="2628" w:type="dxa"/>
            <w:shd w:val="clear" w:color="auto" w:fill="auto"/>
          </w:tcPr>
          <w:p w14:paraId="2247B0F8" w14:textId="77777777" w:rsidR="00133B4B" w:rsidRDefault="00133B4B" w:rsidP="008E470A">
            <w:pPr>
              <w:jc w:val="both"/>
            </w:pPr>
            <w:r>
              <w:t>Альтернатива 2</w:t>
            </w:r>
          </w:p>
        </w:tc>
        <w:tc>
          <w:tcPr>
            <w:tcW w:w="3420" w:type="dxa"/>
            <w:shd w:val="clear" w:color="auto" w:fill="auto"/>
          </w:tcPr>
          <w:p w14:paraId="335CDE48" w14:textId="77777777" w:rsidR="00133B4B" w:rsidRDefault="00133B4B" w:rsidP="008E470A">
            <w:pPr>
              <w:jc w:val="both"/>
            </w:pPr>
            <w:r>
              <w:t>Прийняття даного регуляторного акта дозволяє досягти мети регулювання та відповідає нормам діючого законодавства, поліпшення санітарно – епідеміологічного стану територіальної громади, урегулювання інтересів між суб’єктами господарювання, органом місцевого самоврядування та споживачами послуг, зменшення навантаження на місцевий бюджет у частині виділення коштів на ліквідацію несанкціонованих сміттєзвалищ.</w:t>
            </w:r>
          </w:p>
        </w:tc>
        <w:tc>
          <w:tcPr>
            <w:tcW w:w="3807" w:type="dxa"/>
            <w:shd w:val="clear" w:color="auto" w:fill="auto"/>
          </w:tcPr>
          <w:p w14:paraId="0CC82EE0" w14:textId="77777777" w:rsidR="00133B4B" w:rsidRDefault="00133B4B" w:rsidP="008E470A">
            <w:pPr>
              <w:jc w:val="both"/>
            </w:pPr>
            <w:r>
              <w:t>Зменшення витрат на ліквідацію несанкціонованих сміттєзвалищ</w:t>
            </w:r>
          </w:p>
        </w:tc>
      </w:tr>
    </w:tbl>
    <w:p w14:paraId="7E672CAA" w14:textId="77777777" w:rsidR="00133B4B" w:rsidRDefault="00133B4B" w:rsidP="00133B4B">
      <w:pPr>
        <w:jc w:val="both"/>
      </w:pPr>
      <w:r>
        <w:t xml:space="preserve">    </w:t>
      </w:r>
    </w:p>
    <w:p w14:paraId="57297C41" w14:textId="77777777" w:rsidR="00133B4B" w:rsidRPr="00521353" w:rsidRDefault="00133B4B" w:rsidP="00133B4B">
      <w:pPr>
        <w:jc w:val="both"/>
        <w:rPr>
          <w:i/>
        </w:rPr>
      </w:pPr>
      <w:r w:rsidRPr="00521353">
        <w:rPr>
          <w:i/>
        </w:rPr>
        <w:t xml:space="preserve">        2). Оцінка впливу на сферу інтересів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270"/>
        <w:gridCol w:w="3557"/>
      </w:tblGrid>
      <w:tr w:rsidR="00133B4B" w14:paraId="717C5179" w14:textId="77777777" w:rsidTr="008E470A">
        <w:tc>
          <w:tcPr>
            <w:tcW w:w="2628" w:type="dxa"/>
            <w:shd w:val="clear" w:color="auto" w:fill="auto"/>
          </w:tcPr>
          <w:p w14:paraId="6D90A540" w14:textId="77777777" w:rsidR="00133B4B" w:rsidRDefault="00133B4B" w:rsidP="008E470A">
            <w:pPr>
              <w:jc w:val="center"/>
            </w:pPr>
            <w:r>
              <w:t>Вид альтернативи</w:t>
            </w:r>
          </w:p>
        </w:tc>
        <w:tc>
          <w:tcPr>
            <w:tcW w:w="3420" w:type="dxa"/>
            <w:shd w:val="clear" w:color="auto" w:fill="auto"/>
          </w:tcPr>
          <w:p w14:paraId="612067B5" w14:textId="77777777" w:rsidR="00133B4B" w:rsidRDefault="00133B4B" w:rsidP="008E470A">
            <w:pPr>
              <w:jc w:val="center"/>
            </w:pPr>
            <w:r>
              <w:t>Вигоди</w:t>
            </w:r>
          </w:p>
        </w:tc>
        <w:tc>
          <w:tcPr>
            <w:tcW w:w="3807" w:type="dxa"/>
            <w:shd w:val="clear" w:color="auto" w:fill="auto"/>
          </w:tcPr>
          <w:p w14:paraId="3337747B" w14:textId="77777777" w:rsidR="00133B4B" w:rsidRDefault="00133B4B" w:rsidP="008E470A">
            <w:pPr>
              <w:jc w:val="center"/>
            </w:pPr>
            <w:r>
              <w:t>Витрати</w:t>
            </w:r>
          </w:p>
        </w:tc>
      </w:tr>
      <w:tr w:rsidR="00133B4B" w14:paraId="4FC987C7" w14:textId="77777777" w:rsidTr="008E470A">
        <w:tc>
          <w:tcPr>
            <w:tcW w:w="2628" w:type="dxa"/>
            <w:shd w:val="clear" w:color="auto" w:fill="auto"/>
          </w:tcPr>
          <w:p w14:paraId="494E710A" w14:textId="77777777" w:rsidR="00133B4B" w:rsidRDefault="00133B4B" w:rsidP="008E470A">
            <w:pPr>
              <w:jc w:val="both"/>
            </w:pPr>
            <w:r>
              <w:t>Альтернатива 1</w:t>
            </w:r>
          </w:p>
        </w:tc>
        <w:tc>
          <w:tcPr>
            <w:tcW w:w="3420" w:type="dxa"/>
            <w:shd w:val="clear" w:color="auto" w:fill="auto"/>
          </w:tcPr>
          <w:p w14:paraId="61535DA1" w14:textId="77777777" w:rsidR="00133B4B" w:rsidRDefault="00133B4B" w:rsidP="008E470A">
            <w:pPr>
              <w:jc w:val="both"/>
            </w:pPr>
            <w:r>
              <w:t xml:space="preserve"> Часткове вивезення побутових відходів. Вартість послуг залишається незмінною. </w:t>
            </w:r>
          </w:p>
        </w:tc>
        <w:tc>
          <w:tcPr>
            <w:tcW w:w="3807" w:type="dxa"/>
            <w:shd w:val="clear" w:color="auto" w:fill="auto"/>
          </w:tcPr>
          <w:p w14:paraId="563BD0E3" w14:textId="77777777" w:rsidR="00133B4B" w:rsidRDefault="00133B4B" w:rsidP="008E470A">
            <w:pPr>
              <w:jc w:val="both"/>
            </w:pPr>
            <w:r>
              <w:t>Сплата за надані послуги здійснюється за діючими тарифами</w:t>
            </w:r>
          </w:p>
        </w:tc>
      </w:tr>
      <w:tr w:rsidR="00133B4B" w14:paraId="5D86D360" w14:textId="77777777" w:rsidTr="008E470A">
        <w:tc>
          <w:tcPr>
            <w:tcW w:w="2628" w:type="dxa"/>
            <w:shd w:val="clear" w:color="auto" w:fill="auto"/>
          </w:tcPr>
          <w:p w14:paraId="016ACC0B" w14:textId="77777777" w:rsidR="00133B4B" w:rsidRDefault="00133B4B" w:rsidP="008E470A">
            <w:pPr>
              <w:jc w:val="both"/>
            </w:pPr>
            <w:r>
              <w:t>Альтернатива 2</w:t>
            </w:r>
          </w:p>
        </w:tc>
        <w:tc>
          <w:tcPr>
            <w:tcW w:w="3420" w:type="dxa"/>
            <w:shd w:val="clear" w:color="auto" w:fill="auto"/>
          </w:tcPr>
          <w:p w14:paraId="792260F0" w14:textId="77777777" w:rsidR="00133B4B" w:rsidRDefault="00133B4B" w:rsidP="008E470A">
            <w:pPr>
              <w:jc w:val="both"/>
            </w:pPr>
            <w:r>
              <w:t>Прийняття даного регуляторного акта дає можливість поліпшення санітарно-епідеміологічного стану територіальної громади. Повністю вивезення побутових відходів</w:t>
            </w:r>
          </w:p>
        </w:tc>
        <w:tc>
          <w:tcPr>
            <w:tcW w:w="3807" w:type="dxa"/>
            <w:shd w:val="clear" w:color="auto" w:fill="auto"/>
          </w:tcPr>
          <w:p w14:paraId="36EDD811" w14:textId="77777777" w:rsidR="00133B4B" w:rsidRDefault="00133B4B" w:rsidP="008E470A">
            <w:pPr>
              <w:jc w:val="both"/>
            </w:pPr>
            <w:r>
              <w:t>Незначне збільшення витрат на оплату послуг з вивезення побутових відходів.</w:t>
            </w:r>
          </w:p>
        </w:tc>
      </w:tr>
    </w:tbl>
    <w:p w14:paraId="1867E37E" w14:textId="77777777" w:rsidR="00133B4B" w:rsidRDefault="00133B4B" w:rsidP="00133B4B">
      <w:pPr>
        <w:jc w:val="both"/>
      </w:pPr>
    </w:p>
    <w:p w14:paraId="648F158A" w14:textId="77777777" w:rsidR="00133B4B" w:rsidRPr="00521353" w:rsidRDefault="00133B4B" w:rsidP="00133B4B">
      <w:pPr>
        <w:jc w:val="both"/>
        <w:rPr>
          <w:i/>
        </w:rPr>
      </w:pPr>
      <w:r w:rsidRPr="00521353">
        <w:rPr>
          <w:i/>
        </w:rPr>
        <w:t xml:space="preserve">       3). 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258"/>
        <w:gridCol w:w="3577"/>
      </w:tblGrid>
      <w:tr w:rsidR="00133B4B" w14:paraId="24F360B5" w14:textId="77777777" w:rsidTr="008E470A">
        <w:tc>
          <w:tcPr>
            <w:tcW w:w="2628" w:type="dxa"/>
            <w:shd w:val="clear" w:color="auto" w:fill="auto"/>
          </w:tcPr>
          <w:p w14:paraId="603A34E2" w14:textId="77777777" w:rsidR="00133B4B" w:rsidRDefault="00133B4B" w:rsidP="008E470A">
            <w:pPr>
              <w:jc w:val="center"/>
            </w:pPr>
            <w:r>
              <w:t>Вид альтернативи</w:t>
            </w:r>
          </w:p>
        </w:tc>
        <w:tc>
          <w:tcPr>
            <w:tcW w:w="3420" w:type="dxa"/>
            <w:shd w:val="clear" w:color="auto" w:fill="auto"/>
          </w:tcPr>
          <w:p w14:paraId="340BB591" w14:textId="77777777" w:rsidR="00133B4B" w:rsidRDefault="00133B4B" w:rsidP="008E470A">
            <w:pPr>
              <w:jc w:val="center"/>
            </w:pPr>
            <w:r>
              <w:t>Вигоди</w:t>
            </w:r>
          </w:p>
        </w:tc>
        <w:tc>
          <w:tcPr>
            <w:tcW w:w="3807" w:type="dxa"/>
            <w:shd w:val="clear" w:color="auto" w:fill="auto"/>
          </w:tcPr>
          <w:p w14:paraId="404151FE" w14:textId="77777777" w:rsidR="00133B4B" w:rsidRDefault="00133B4B" w:rsidP="008E470A">
            <w:pPr>
              <w:jc w:val="center"/>
            </w:pPr>
            <w:r>
              <w:t>Витрати</w:t>
            </w:r>
          </w:p>
        </w:tc>
      </w:tr>
      <w:tr w:rsidR="00133B4B" w14:paraId="2D96C79B" w14:textId="77777777" w:rsidTr="008E470A">
        <w:tc>
          <w:tcPr>
            <w:tcW w:w="2628" w:type="dxa"/>
            <w:shd w:val="clear" w:color="auto" w:fill="auto"/>
          </w:tcPr>
          <w:p w14:paraId="27D1B4A8" w14:textId="77777777" w:rsidR="00133B4B" w:rsidRDefault="00133B4B" w:rsidP="008E470A">
            <w:pPr>
              <w:jc w:val="both"/>
            </w:pPr>
            <w:r>
              <w:t>Альтернатива 1</w:t>
            </w:r>
          </w:p>
        </w:tc>
        <w:tc>
          <w:tcPr>
            <w:tcW w:w="3420" w:type="dxa"/>
            <w:shd w:val="clear" w:color="auto" w:fill="auto"/>
          </w:tcPr>
          <w:p w14:paraId="330C4DA6" w14:textId="77777777" w:rsidR="00133B4B" w:rsidRDefault="00133B4B" w:rsidP="008E470A">
            <w:pPr>
              <w:jc w:val="both"/>
            </w:pPr>
            <w:r>
              <w:t xml:space="preserve"> Залишення ситуації без змін. Не збільшення норм утворення побутових відходів.</w:t>
            </w:r>
          </w:p>
        </w:tc>
        <w:tc>
          <w:tcPr>
            <w:tcW w:w="3807" w:type="dxa"/>
            <w:shd w:val="clear" w:color="auto" w:fill="auto"/>
          </w:tcPr>
          <w:p w14:paraId="7A0BB11E" w14:textId="77777777" w:rsidR="00133B4B" w:rsidRDefault="00133B4B" w:rsidP="008E470A">
            <w:pPr>
              <w:jc w:val="both"/>
            </w:pPr>
            <w:r>
              <w:t>Додаткові витрати на вивезення побутових відходів власними силами суб’єктів господарювання</w:t>
            </w:r>
          </w:p>
        </w:tc>
      </w:tr>
      <w:tr w:rsidR="00133B4B" w14:paraId="7A693BFC" w14:textId="77777777" w:rsidTr="008E470A">
        <w:tc>
          <w:tcPr>
            <w:tcW w:w="2628" w:type="dxa"/>
            <w:shd w:val="clear" w:color="auto" w:fill="auto"/>
          </w:tcPr>
          <w:p w14:paraId="0C745AF5" w14:textId="77777777" w:rsidR="00133B4B" w:rsidRDefault="00133B4B" w:rsidP="008E470A">
            <w:pPr>
              <w:jc w:val="both"/>
            </w:pPr>
            <w:r>
              <w:t>Альтернатива 2</w:t>
            </w:r>
          </w:p>
        </w:tc>
        <w:tc>
          <w:tcPr>
            <w:tcW w:w="3420" w:type="dxa"/>
            <w:shd w:val="clear" w:color="auto" w:fill="auto"/>
          </w:tcPr>
          <w:p w14:paraId="66D20DB7" w14:textId="77777777" w:rsidR="00133B4B" w:rsidRDefault="00133B4B" w:rsidP="008E470A">
            <w:pPr>
              <w:jc w:val="both"/>
            </w:pPr>
            <w:r>
              <w:t xml:space="preserve">Прийняття даного регуляторного акта дає встановлення єдиного підходу до показників </w:t>
            </w:r>
            <w:r>
              <w:lastRenderedPageBreak/>
              <w:t>нормування надання послуг з вивезення побутових відходів. Поліпшення санітарно-епідеміологічного стану територіальної громади. Повністю вивезені побутові відходи.</w:t>
            </w:r>
          </w:p>
        </w:tc>
        <w:tc>
          <w:tcPr>
            <w:tcW w:w="3807" w:type="dxa"/>
            <w:shd w:val="clear" w:color="auto" w:fill="auto"/>
          </w:tcPr>
          <w:p w14:paraId="236525D6" w14:textId="77777777" w:rsidR="00133B4B" w:rsidRDefault="00133B4B" w:rsidP="008E470A">
            <w:pPr>
              <w:jc w:val="both"/>
            </w:pPr>
            <w:r>
              <w:lastRenderedPageBreak/>
              <w:t>Незначне збільшення витрат на оплату послуг з вивезення побутових відходів.</w:t>
            </w:r>
          </w:p>
        </w:tc>
      </w:tr>
    </w:tbl>
    <w:p w14:paraId="322F2A0F" w14:textId="77777777" w:rsidR="00133B4B" w:rsidRDefault="00133B4B" w:rsidP="00133B4B">
      <w:pPr>
        <w:jc w:val="both"/>
      </w:pPr>
    </w:p>
    <w:p w14:paraId="566D507F" w14:textId="77777777" w:rsidR="00133B4B" w:rsidRDefault="00133B4B" w:rsidP="00133B4B">
      <w:pPr>
        <w:jc w:val="center"/>
        <w:rPr>
          <w:b/>
        </w:rPr>
      </w:pPr>
      <w:r w:rsidRPr="009D561D">
        <w:rPr>
          <w:b/>
        </w:rPr>
        <w:t>І</w:t>
      </w:r>
      <w:r>
        <w:rPr>
          <w:b/>
          <w:lang w:val="en-US"/>
        </w:rPr>
        <w:t>V</w:t>
      </w:r>
      <w:r>
        <w:rPr>
          <w:b/>
        </w:rPr>
        <w:t xml:space="preserve">. </w:t>
      </w:r>
      <w:r w:rsidRPr="009D561D">
        <w:rPr>
          <w:b/>
        </w:rPr>
        <w:t xml:space="preserve"> Вибір найбільш оптимального альтернативного способу </w:t>
      </w:r>
    </w:p>
    <w:p w14:paraId="3AB60A2E" w14:textId="77777777" w:rsidR="00133B4B" w:rsidRDefault="00133B4B" w:rsidP="00133B4B">
      <w:pPr>
        <w:jc w:val="center"/>
        <w:rPr>
          <w:b/>
        </w:rPr>
      </w:pPr>
      <w:r w:rsidRPr="009D561D">
        <w:rPr>
          <w:b/>
        </w:rPr>
        <w:t>досягнення цілей</w:t>
      </w:r>
    </w:p>
    <w:p w14:paraId="74B14BB8" w14:textId="77777777" w:rsidR="00133B4B" w:rsidRDefault="00133B4B" w:rsidP="00133B4B">
      <w:pPr>
        <w:jc w:val="both"/>
        <w:rPr>
          <w:b/>
        </w:rPr>
      </w:pPr>
      <w:r w:rsidRPr="003321EA">
        <w:rPr>
          <w:lang w:val="ru-RU"/>
        </w:rPr>
        <w:t xml:space="preserve">            </w:t>
      </w:r>
      <w:r w:rsidRPr="00A23227">
        <w:t>Для визначення оптимального альтернативного способу з урахуванням системи бальної оцінки ступеня досягнення визначених цілей</w:t>
      </w:r>
      <w:r>
        <w:rPr>
          <w:b/>
        </w:rPr>
        <w:t>.</w:t>
      </w:r>
    </w:p>
    <w:p w14:paraId="50B2B6D9" w14:textId="77777777" w:rsidR="00133B4B" w:rsidRPr="0002567C" w:rsidRDefault="00133B4B" w:rsidP="00133B4B">
      <w:pPr>
        <w:jc w:val="both"/>
      </w:pPr>
      <w:r>
        <w:rPr>
          <w:b/>
        </w:rPr>
        <w:tab/>
      </w:r>
      <w:r w:rsidRPr="0002567C">
        <w:t>Вартість балів визначається за трьох бальною системою оцінки ступеня досягнення визначених цілей, де:</w:t>
      </w:r>
    </w:p>
    <w:p w14:paraId="731D76F9" w14:textId="77777777" w:rsidR="00133B4B" w:rsidRPr="0049140E" w:rsidRDefault="00133B4B" w:rsidP="00133B4B">
      <w:pPr>
        <w:numPr>
          <w:ilvl w:val="0"/>
          <w:numId w:val="18"/>
        </w:numPr>
        <w:jc w:val="both"/>
      </w:pPr>
      <w:r w:rsidRPr="0049140E">
        <w:t>3 – цілі прийняття регуляторного акта, які можуть бути досягнуті повною мірою (проблема більше існувати не буде);</w:t>
      </w:r>
    </w:p>
    <w:p w14:paraId="4C6A2DFC" w14:textId="77777777" w:rsidR="00133B4B" w:rsidRPr="0049140E" w:rsidRDefault="00133B4B" w:rsidP="00133B4B">
      <w:pPr>
        <w:numPr>
          <w:ilvl w:val="0"/>
          <w:numId w:val="18"/>
        </w:numPr>
        <w:jc w:val="both"/>
      </w:pPr>
      <w:r w:rsidRPr="0049140E">
        <w:t>2 – цілі прийняття регуляторного акта, які можуть бути досягнуті частково (проблема значно зменшиться, деякі важливі та критичні аспекти проблеми залишаються невирішеними);</w:t>
      </w:r>
    </w:p>
    <w:p w14:paraId="2072FC62" w14:textId="77777777" w:rsidR="00133B4B" w:rsidRPr="0049140E" w:rsidRDefault="00133B4B" w:rsidP="00133B4B">
      <w:pPr>
        <w:numPr>
          <w:ilvl w:val="0"/>
          <w:numId w:val="18"/>
        </w:numPr>
        <w:jc w:val="both"/>
      </w:pPr>
      <w:r w:rsidRPr="0049140E">
        <w:t>1 – цілі прийняття регуляторного акта, які не можуть бути досягнуто (проблема продовжує існувати).</w:t>
      </w:r>
    </w:p>
    <w:p w14:paraId="7648FB4A" w14:textId="77777777" w:rsidR="00133B4B" w:rsidRDefault="00133B4B" w:rsidP="00133B4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3135"/>
        <w:gridCol w:w="3074"/>
      </w:tblGrid>
      <w:tr w:rsidR="00133B4B" w:rsidRPr="000042AA" w14:paraId="7D40150F" w14:textId="77777777" w:rsidTr="008E470A">
        <w:tc>
          <w:tcPr>
            <w:tcW w:w="3285" w:type="dxa"/>
            <w:shd w:val="clear" w:color="auto" w:fill="auto"/>
          </w:tcPr>
          <w:p w14:paraId="68DD2EDB" w14:textId="77777777" w:rsidR="00133B4B" w:rsidRPr="000042AA" w:rsidRDefault="00133B4B" w:rsidP="008E470A">
            <w:pPr>
              <w:jc w:val="center"/>
              <w:rPr>
                <w:b/>
              </w:rPr>
            </w:pPr>
            <w:r w:rsidRPr="000042AA">
              <w:rPr>
                <w:b/>
              </w:rPr>
              <w:t>Рейтинг результативності</w:t>
            </w:r>
          </w:p>
        </w:tc>
        <w:tc>
          <w:tcPr>
            <w:tcW w:w="3285" w:type="dxa"/>
            <w:shd w:val="clear" w:color="auto" w:fill="auto"/>
          </w:tcPr>
          <w:p w14:paraId="085B73D5" w14:textId="77777777" w:rsidR="00133B4B" w:rsidRPr="000042AA" w:rsidRDefault="00133B4B" w:rsidP="008E470A">
            <w:pPr>
              <w:jc w:val="center"/>
              <w:rPr>
                <w:b/>
              </w:rPr>
            </w:pPr>
            <w:r w:rsidRPr="000042AA">
              <w:rPr>
                <w:b/>
              </w:rPr>
              <w:t>Бал результативності</w:t>
            </w:r>
          </w:p>
        </w:tc>
        <w:tc>
          <w:tcPr>
            <w:tcW w:w="3285" w:type="dxa"/>
            <w:shd w:val="clear" w:color="auto" w:fill="auto"/>
          </w:tcPr>
          <w:p w14:paraId="377777EA" w14:textId="77777777" w:rsidR="00133B4B" w:rsidRPr="000042AA" w:rsidRDefault="00133B4B" w:rsidP="008E470A">
            <w:pPr>
              <w:jc w:val="center"/>
              <w:rPr>
                <w:b/>
              </w:rPr>
            </w:pPr>
            <w:r w:rsidRPr="000042AA">
              <w:rPr>
                <w:b/>
              </w:rPr>
              <w:t>Коментарі щодо присвоєння</w:t>
            </w:r>
          </w:p>
        </w:tc>
      </w:tr>
      <w:tr w:rsidR="00133B4B" w:rsidRPr="00A7425B" w14:paraId="67A5F770" w14:textId="77777777" w:rsidTr="008E470A">
        <w:tc>
          <w:tcPr>
            <w:tcW w:w="3285" w:type="dxa"/>
            <w:shd w:val="clear" w:color="auto" w:fill="auto"/>
          </w:tcPr>
          <w:p w14:paraId="1E74E47A" w14:textId="77777777" w:rsidR="00133B4B" w:rsidRDefault="00133B4B" w:rsidP="008E470A">
            <w:r w:rsidRPr="00A7425B">
              <w:t>Альтернатива 1</w:t>
            </w:r>
          </w:p>
          <w:p w14:paraId="056DD1E6" w14:textId="77777777" w:rsidR="00133B4B" w:rsidRPr="00A7425B" w:rsidRDefault="00133B4B" w:rsidP="008E470A"/>
          <w:p w14:paraId="611A1329" w14:textId="77777777" w:rsidR="00133B4B" w:rsidRPr="00A7425B" w:rsidRDefault="00133B4B" w:rsidP="008E470A">
            <w:r w:rsidRPr="00A7425B">
              <w:t>Залишити ситуацію без змін</w:t>
            </w:r>
          </w:p>
        </w:tc>
        <w:tc>
          <w:tcPr>
            <w:tcW w:w="3285" w:type="dxa"/>
            <w:shd w:val="clear" w:color="auto" w:fill="auto"/>
          </w:tcPr>
          <w:p w14:paraId="405DE4FC" w14:textId="77777777" w:rsidR="00133B4B" w:rsidRDefault="00133B4B" w:rsidP="008E470A">
            <w:pPr>
              <w:jc w:val="center"/>
            </w:pPr>
          </w:p>
          <w:p w14:paraId="6D267042" w14:textId="77777777" w:rsidR="00133B4B" w:rsidRDefault="00133B4B" w:rsidP="008E470A">
            <w:pPr>
              <w:jc w:val="center"/>
            </w:pPr>
          </w:p>
          <w:p w14:paraId="76AD9693" w14:textId="77777777" w:rsidR="00133B4B" w:rsidRPr="00A7425B" w:rsidRDefault="00133B4B" w:rsidP="008E470A">
            <w:pPr>
              <w:jc w:val="center"/>
            </w:pPr>
            <w:r>
              <w:t>1</w:t>
            </w:r>
          </w:p>
        </w:tc>
        <w:tc>
          <w:tcPr>
            <w:tcW w:w="3285" w:type="dxa"/>
            <w:shd w:val="clear" w:color="auto" w:fill="auto"/>
          </w:tcPr>
          <w:p w14:paraId="7C767651" w14:textId="77777777" w:rsidR="00133B4B" w:rsidRPr="00A7425B" w:rsidRDefault="00133B4B" w:rsidP="008E470A">
            <w:pPr>
              <w:jc w:val="both"/>
            </w:pPr>
            <w:r w:rsidRPr="00A7425B">
              <w:t xml:space="preserve">Часткове розв’язання </w:t>
            </w:r>
            <w:r>
              <w:t>проблеми</w:t>
            </w:r>
          </w:p>
        </w:tc>
      </w:tr>
      <w:tr w:rsidR="00133B4B" w:rsidRPr="00A7425B" w14:paraId="05EE187B" w14:textId="77777777" w:rsidTr="008E470A">
        <w:tc>
          <w:tcPr>
            <w:tcW w:w="3285" w:type="dxa"/>
            <w:shd w:val="clear" w:color="auto" w:fill="auto"/>
          </w:tcPr>
          <w:p w14:paraId="651260D2" w14:textId="77777777" w:rsidR="00133B4B" w:rsidRDefault="00133B4B" w:rsidP="008E470A">
            <w:r>
              <w:t>Альтернатива 2</w:t>
            </w:r>
          </w:p>
          <w:p w14:paraId="0D195007" w14:textId="77777777" w:rsidR="00133B4B" w:rsidRDefault="00133B4B" w:rsidP="008E470A"/>
          <w:p w14:paraId="1F1FDA10" w14:textId="77777777" w:rsidR="00133B4B" w:rsidRDefault="00133B4B" w:rsidP="008E470A">
            <w:r>
              <w:t>Прийняття даного регуляторного акта</w:t>
            </w:r>
          </w:p>
          <w:p w14:paraId="23FD5029" w14:textId="77777777" w:rsidR="00133B4B" w:rsidRPr="00A7425B" w:rsidRDefault="00133B4B" w:rsidP="008E470A"/>
          <w:p w14:paraId="47F8FF26" w14:textId="77777777" w:rsidR="00133B4B" w:rsidRPr="00A7425B" w:rsidRDefault="00133B4B" w:rsidP="008E470A"/>
        </w:tc>
        <w:tc>
          <w:tcPr>
            <w:tcW w:w="3285" w:type="dxa"/>
            <w:shd w:val="clear" w:color="auto" w:fill="auto"/>
          </w:tcPr>
          <w:p w14:paraId="36612EDF" w14:textId="77777777" w:rsidR="00133B4B" w:rsidRDefault="00133B4B" w:rsidP="008E470A">
            <w:pPr>
              <w:jc w:val="center"/>
            </w:pPr>
          </w:p>
          <w:p w14:paraId="494FE13A" w14:textId="77777777" w:rsidR="00133B4B" w:rsidRDefault="00133B4B" w:rsidP="008E470A">
            <w:pPr>
              <w:jc w:val="center"/>
            </w:pPr>
          </w:p>
          <w:p w14:paraId="18803B19" w14:textId="77777777" w:rsidR="00133B4B" w:rsidRDefault="00133B4B" w:rsidP="008E470A">
            <w:pPr>
              <w:jc w:val="center"/>
            </w:pPr>
          </w:p>
          <w:p w14:paraId="0A67FD6F" w14:textId="77777777" w:rsidR="00133B4B" w:rsidRPr="00A7425B" w:rsidRDefault="00133B4B" w:rsidP="008E470A">
            <w:pPr>
              <w:jc w:val="center"/>
            </w:pPr>
            <w:r>
              <w:t>3</w:t>
            </w:r>
          </w:p>
        </w:tc>
        <w:tc>
          <w:tcPr>
            <w:tcW w:w="3285" w:type="dxa"/>
            <w:shd w:val="clear" w:color="auto" w:fill="auto"/>
          </w:tcPr>
          <w:p w14:paraId="52724C83" w14:textId="77777777" w:rsidR="00133B4B" w:rsidRPr="00A7425B" w:rsidRDefault="00133B4B" w:rsidP="008E470A">
            <w:pPr>
              <w:jc w:val="both"/>
            </w:pPr>
            <w:r>
              <w:t xml:space="preserve">Забезпечує принципи державної регуляторної політики, реальне відображення норм надання  послуг з вивезення побутових відходів в житловій забудові та на об’єктах невиробничої сфери. </w:t>
            </w:r>
          </w:p>
        </w:tc>
      </w:tr>
    </w:tbl>
    <w:p w14:paraId="1A2DE6D3" w14:textId="77777777" w:rsidR="00133B4B" w:rsidRPr="009D561D" w:rsidRDefault="00133B4B" w:rsidP="00133B4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220"/>
        <w:gridCol w:w="1424"/>
        <w:gridCol w:w="3019"/>
      </w:tblGrid>
      <w:tr w:rsidR="00133B4B" w14:paraId="1EF207EF" w14:textId="77777777" w:rsidTr="008E470A">
        <w:tc>
          <w:tcPr>
            <w:tcW w:w="2808" w:type="dxa"/>
            <w:shd w:val="clear" w:color="auto" w:fill="auto"/>
          </w:tcPr>
          <w:p w14:paraId="6DFCF2B5" w14:textId="77777777" w:rsidR="00133B4B" w:rsidRPr="000042AA" w:rsidRDefault="00133B4B" w:rsidP="008E470A">
            <w:pPr>
              <w:jc w:val="both"/>
              <w:rPr>
                <w:b/>
              </w:rPr>
            </w:pPr>
            <w:r w:rsidRPr="000042AA">
              <w:rPr>
                <w:b/>
              </w:rPr>
              <w:t>Рейтинг результативності</w:t>
            </w:r>
          </w:p>
        </w:tc>
        <w:tc>
          <w:tcPr>
            <w:tcW w:w="2340" w:type="dxa"/>
            <w:shd w:val="clear" w:color="auto" w:fill="auto"/>
          </w:tcPr>
          <w:p w14:paraId="1BF80397" w14:textId="77777777" w:rsidR="00133B4B" w:rsidRPr="000042AA" w:rsidRDefault="00133B4B" w:rsidP="008E470A">
            <w:pPr>
              <w:jc w:val="both"/>
              <w:rPr>
                <w:b/>
              </w:rPr>
            </w:pPr>
            <w:r w:rsidRPr="000042AA">
              <w:rPr>
                <w:b/>
              </w:rPr>
              <w:t>Вигоди (підсумок)</w:t>
            </w:r>
          </w:p>
        </w:tc>
        <w:tc>
          <w:tcPr>
            <w:tcW w:w="1440" w:type="dxa"/>
            <w:shd w:val="clear" w:color="auto" w:fill="auto"/>
          </w:tcPr>
          <w:p w14:paraId="14AE78D2" w14:textId="77777777" w:rsidR="00133B4B" w:rsidRPr="000042AA" w:rsidRDefault="00133B4B" w:rsidP="008E470A">
            <w:pPr>
              <w:jc w:val="both"/>
              <w:rPr>
                <w:b/>
              </w:rPr>
            </w:pPr>
            <w:r w:rsidRPr="000042AA">
              <w:rPr>
                <w:b/>
              </w:rPr>
              <w:t>Витрати (підсумок)</w:t>
            </w:r>
          </w:p>
        </w:tc>
        <w:tc>
          <w:tcPr>
            <w:tcW w:w="3267" w:type="dxa"/>
            <w:shd w:val="clear" w:color="auto" w:fill="auto"/>
          </w:tcPr>
          <w:p w14:paraId="045DD647" w14:textId="77777777" w:rsidR="00133B4B" w:rsidRPr="000042AA" w:rsidRDefault="00133B4B" w:rsidP="008E470A">
            <w:pPr>
              <w:jc w:val="both"/>
              <w:rPr>
                <w:b/>
              </w:rPr>
            </w:pPr>
            <w:r w:rsidRPr="000042AA">
              <w:rPr>
                <w:b/>
              </w:rPr>
              <w:t>Обґрунтування відповідного місця альтернативи в рейтингу</w:t>
            </w:r>
          </w:p>
        </w:tc>
      </w:tr>
      <w:tr w:rsidR="00133B4B" w14:paraId="16F5FAD5" w14:textId="77777777" w:rsidTr="008E470A">
        <w:tc>
          <w:tcPr>
            <w:tcW w:w="2808" w:type="dxa"/>
            <w:shd w:val="clear" w:color="auto" w:fill="auto"/>
          </w:tcPr>
          <w:p w14:paraId="462720C2" w14:textId="77777777" w:rsidR="00133B4B" w:rsidRDefault="00133B4B" w:rsidP="008E470A">
            <w:r w:rsidRPr="00A7425B">
              <w:t>Альтернатива 1</w:t>
            </w:r>
          </w:p>
          <w:p w14:paraId="66209082" w14:textId="77777777" w:rsidR="00133B4B" w:rsidRPr="00A7425B" w:rsidRDefault="00133B4B" w:rsidP="008E470A"/>
          <w:p w14:paraId="0A54C9DC" w14:textId="77777777" w:rsidR="00133B4B" w:rsidRPr="00A7425B" w:rsidRDefault="00133B4B" w:rsidP="008E470A">
            <w:r w:rsidRPr="00A7425B">
              <w:t>Залишити ситуацію без змін</w:t>
            </w:r>
          </w:p>
        </w:tc>
        <w:tc>
          <w:tcPr>
            <w:tcW w:w="2340" w:type="dxa"/>
            <w:shd w:val="clear" w:color="auto" w:fill="auto"/>
          </w:tcPr>
          <w:p w14:paraId="71D0AF59" w14:textId="77777777" w:rsidR="00133B4B" w:rsidRDefault="00133B4B" w:rsidP="008E470A">
            <w:pPr>
              <w:jc w:val="both"/>
            </w:pPr>
            <w:r>
              <w:t>Відсутні. Оскільки необхідно привести у відповідність до чинного законодавства</w:t>
            </w:r>
          </w:p>
        </w:tc>
        <w:tc>
          <w:tcPr>
            <w:tcW w:w="1440" w:type="dxa"/>
            <w:shd w:val="clear" w:color="auto" w:fill="auto"/>
          </w:tcPr>
          <w:p w14:paraId="6DE3CC89" w14:textId="77777777" w:rsidR="00133B4B" w:rsidRDefault="00133B4B" w:rsidP="008E470A">
            <w:pPr>
              <w:jc w:val="both"/>
            </w:pPr>
            <w:r>
              <w:t>Відсутні</w:t>
            </w:r>
          </w:p>
        </w:tc>
        <w:tc>
          <w:tcPr>
            <w:tcW w:w="3267" w:type="dxa"/>
            <w:shd w:val="clear" w:color="auto" w:fill="auto"/>
          </w:tcPr>
          <w:p w14:paraId="572A907D" w14:textId="77777777" w:rsidR="00133B4B" w:rsidRDefault="00133B4B" w:rsidP="008E470A">
            <w:pPr>
              <w:jc w:val="both"/>
            </w:pPr>
            <w:r>
              <w:t xml:space="preserve">Проблема продовжує існувати  бо не досягнуто цілі прийняття регуляторного акта </w:t>
            </w:r>
          </w:p>
        </w:tc>
      </w:tr>
      <w:tr w:rsidR="00133B4B" w14:paraId="761E1CE0" w14:textId="77777777" w:rsidTr="008E470A">
        <w:tc>
          <w:tcPr>
            <w:tcW w:w="2808" w:type="dxa"/>
            <w:shd w:val="clear" w:color="auto" w:fill="auto"/>
          </w:tcPr>
          <w:p w14:paraId="75A474AC" w14:textId="77777777" w:rsidR="00133B4B" w:rsidRDefault="00133B4B" w:rsidP="008E470A">
            <w:r>
              <w:t>Альтернатива 2</w:t>
            </w:r>
          </w:p>
          <w:p w14:paraId="411CECA3" w14:textId="77777777" w:rsidR="00133B4B" w:rsidRDefault="00133B4B" w:rsidP="008E470A"/>
          <w:p w14:paraId="0DAEF053" w14:textId="77777777" w:rsidR="00133B4B" w:rsidRPr="00A7425B" w:rsidRDefault="00133B4B" w:rsidP="008E470A">
            <w:r>
              <w:t>Прийняття даного регуляторного акта</w:t>
            </w:r>
          </w:p>
        </w:tc>
        <w:tc>
          <w:tcPr>
            <w:tcW w:w="2340" w:type="dxa"/>
            <w:shd w:val="clear" w:color="auto" w:fill="auto"/>
          </w:tcPr>
          <w:p w14:paraId="0B466218" w14:textId="77777777" w:rsidR="00133B4B" w:rsidRDefault="00133B4B" w:rsidP="008E470A">
            <w:pPr>
              <w:jc w:val="both"/>
            </w:pPr>
            <w:r>
              <w:t>Відповідність вимогам чинного законодавства</w:t>
            </w:r>
          </w:p>
        </w:tc>
        <w:tc>
          <w:tcPr>
            <w:tcW w:w="1440" w:type="dxa"/>
            <w:shd w:val="clear" w:color="auto" w:fill="auto"/>
          </w:tcPr>
          <w:p w14:paraId="262DE034" w14:textId="77777777" w:rsidR="00133B4B" w:rsidRDefault="00133B4B" w:rsidP="008E470A">
            <w:pPr>
              <w:jc w:val="both"/>
            </w:pPr>
            <w:r>
              <w:t>Відсутні</w:t>
            </w:r>
          </w:p>
        </w:tc>
        <w:tc>
          <w:tcPr>
            <w:tcW w:w="3267" w:type="dxa"/>
            <w:shd w:val="clear" w:color="auto" w:fill="auto"/>
          </w:tcPr>
          <w:p w14:paraId="48FEE82F" w14:textId="77777777" w:rsidR="00133B4B" w:rsidRDefault="00133B4B" w:rsidP="008E470A">
            <w:pPr>
              <w:jc w:val="both"/>
            </w:pPr>
            <w:r>
              <w:t>Забезпечує  розв’язання  існуючої проблеми, оскільки цілі будуть досягнуті повною мірою</w:t>
            </w:r>
          </w:p>
        </w:tc>
      </w:tr>
    </w:tbl>
    <w:p w14:paraId="7C46BA5A" w14:textId="77777777" w:rsidR="00133B4B" w:rsidRDefault="00133B4B" w:rsidP="00133B4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3766"/>
        <w:gridCol w:w="3240"/>
      </w:tblGrid>
      <w:tr w:rsidR="00133B4B" w:rsidRPr="000042AA" w14:paraId="3A1DDDB3" w14:textId="77777777" w:rsidTr="008E470A">
        <w:tc>
          <w:tcPr>
            <w:tcW w:w="2463" w:type="dxa"/>
            <w:shd w:val="clear" w:color="auto" w:fill="auto"/>
          </w:tcPr>
          <w:p w14:paraId="40680E00" w14:textId="77777777" w:rsidR="00133B4B" w:rsidRPr="000042AA" w:rsidRDefault="00133B4B" w:rsidP="008E470A">
            <w:pPr>
              <w:jc w:val="center"/>
              <w:rPr>
                <w:b/>
              </w:rPr>
            </w:pPr>
            <w:r w:rsidRPr="000042AA">
              <w:rPr>
                <w:b/>
              </w:rPr>
              <w:t xml:space="preserve">Рейтинг </w:t>
            </w:r>
          </w:p>
        </w:tc>
        <w:tc>
          <w:tcPr>
            <w:tcW w:w="3945" w:type="dxa"/>
            <w:shd w:val="clear" w:color="auto" w:fill="auto"/>
          </w:tcPr>
          <w:p w14:paraId="72EDE0DA" w14:textId="77777777" w:rsidR="00133B4B" w:rsidRPr="000042AA" w:rsidRDefault="00133B4B" w:rsidP="008E470A">
            <w:pPr>
              <w:jc w:val="center"/>
              <w:rPr>
                <w:b/>
              </w:rPr>
            </w:pPr>
            <w:r w:rsidRPr="000042AA">
              <w:rPr>
                <w:b/>
              </w:rPr>
              <w:t>Аргументи щодо переваги обраної альтернативи/причини відмови від альтернативи</w:t>
            </w:r>
          </w:p>
        </w:tc>
        <w:tc>
          <w:tcPr>
            <w:tcW w:w="3447" w:type="dxa"/>
            <w:shd w:val="clear" w:color="auto" w:fill="auto"/>
          </w:tcPr>
          <w:p w14:paraId="2AD7F6A5" w14:textId="77777777" w:rsidR="00133B4B" w:rsidRPr="000042AA" w:rsidRDefault="00133B4B" w:rsidP="008E470A">
            <w:pPr>
              <w:jc w:val="center"/>
              <w:rPr>
                <w:b/>
              </w:rPr>
            </w:pPr>
            <w:r w:rsidRPr="000042AA">
              <w:rPr>
                <w:b/>
              </w:rPr>
              <w:t xml:space="preserve">Оцінка ризику зовнішніх чинників на дію </w:t>
            </w:r>
            <w:r w:rsidRPr="000042AA">
              <w:rPr>
                <w:b/>
              </w:rPr>
              <w:lastRenderedPageBreak/>
              <w:t>запропонованого регуляторного акта</w:t>
            </w:r>
          </w:p>
        </w:tc>
      </w:tr>
      <w:tr w:rsidR="00133B4B" w14:paraId="7B85A03B" w14:textId="77777777" w:rsidTr="008E470A">
        <w:tc>
          <w:tcPr>
            <w:tcW w:w="2463" w:type="dxa"/>
            <w:shd w:val="clear" w:color="auto" w:fill="auto"/>
          </w:tcPr>
          <w:p w14:paraId="26CEF9FD" w14:textId="77777777" w:rsidR="00133B4B" w:rsidRDefault="00133B4B" w:rsidP="008E470A">
            <w:r w:rsidRPr="00A7425B">
              <w:lastRenderedPageBreak/>
              <w:t>Альтернатива 1</w:t>
            </w:r>
          </w:p>
          <w:p w14:paraId="6D593034" w14:textId="77777777" w:rsidR="00133B4B" w:rsidRDefault="00133B4B" w:rsidP="008E470A">
            <w:pPr>
              <w:jc w:val="both"/>
            </w:pPr>
          </w:p>
        </w:tc>
        <w:tc>
          <w:tcPr>
            <w:tcW w:w="3945" w:type="dxa"/>
            <w:shd w:val="clear" w:color="auto" w:fill="auto"/>
          </w:tcPr>
          <w:p w14:paraId="119B3E2B" w14:textId="77777777" w:rsidR="00133B4B" w:rsidRDefault="00133B4B" w:rsidP="008E470A">
            <w:pPr>
              <w:jc w:val="both"/>
            </w:pPr>
            <w:r>
              <w:t>Не є прийнятою і не вирішує проблему оскільки залишається без змін</w:t>
            </w:r>
          </w:p>
        </w:tc>
        <w:tc>
          <w:tcPr>
            <w:tcW w:w="3447" w:type="dxa"/>
            <w:shd w:val="clear" w:color="auto" w:fill="auto"/>
          </w:tcPr>
          <w:p w14:paraId="0BACB417" w14:textId="77777777" w:rsidR="00133B4B" w:rsidRDefault="00133B4B" w:rsidP="008E470A">
            <w:pPr>
              <w:jc w:val="both"/>
            </w:pPr>
            <w:r>
              <w:t>Не відповідає нормам чинного законодавства у сфері надання послуг з поводження з побутовими відходами</w:t>
            </w:r>
          </w:p>
        </w:tc>
      </w:tr>
      <w:tr w:rsidR="00133B4B" w14:paraId="1FB7706D" w14:textId="77777777" w:rsidTr="008E470A">
        <w:tc>
          <w:tcPr>
            <w:tcW w:w="2463" w:type="dxa"/>
            <w:shd w:val="clear" w:color="auto" w:fill="auto"/>
          </w:tcPr>
          <w:p w14:paraId="5060FB62" w14:textId="77777777" w:rsidR="00133B4B" w:rsidRDefault="00133B4B" w:rsidP="008E470A">
            <w:r>
              <w:t>Альтернатива 2</w:t>
            </w:r>
          </w:p>
          <w:p w14:paraId="3398B37F" w14:textId="77777777" w:rsidR="00133B4B" w:rsidRDefault="00133B4B" w:rsidP="008E470A">
            <w:pPr>
              <w:jc w:val="both"/>
            </w:pPr>
          </w:p>
        </w:tc>
        <w:tc>
          <w:tcPr>
            <w:tcW w:w="3945" w:type="dxa"/>
            <w:shd w:val="clear" w:color="auto" w:fill="auto"/>
          </w:tcPr>
          <w:p w14:paraId="042AE143" w14:textId="77777777" w:rsidR="00133B4B" w:rsidRDefault="00133B4B" w:rsidP="008E470A">
            <w:pPr>
              <w:jc w:val="both"/>
            </w:pPr>
            <w:r>
              <w:t xml:space="preserve">Перевагою прийняття даного регуляторного акта є досягнення визначених цілей, відповідно до норм чинного законодавства та встановлення норм надання послуг із поводження з побутовими відходами </w:t>
            </w:r>
          </w:p>
        </w:tc>
        <w:tc>
          <w:tcPr>
            <w:tcW w:w="3447" w:type="dxa"/>
            <w:shd w:val="clear" w:color="auto" w:fill="auto"/>
          </w:tcPr>
          <w:p w14:paraId="7C107DCF" w14:textId="77777777" w:rsidR="00133B4B" w:rsidRDefault="00133B4B" w:rsidP="008E470A">
            <w:pPr>
              <w:jc w:val="both"/>
            </w:pPr>
            <w:r>
              <w:t>Підвищення рівня якості організації робіт у сфері надання послуг із поводження з побутовими відходами. Поліпшення санітарно-епідеміологічного стану територіальної громади. Зменшення навантаження на міський бюджет в частині виділення коштів на ліквідацію несанкціонованих сміттєзвалищ.</w:t>
            </w:r>
          </w:p>
        </w:tc>
      </w:tr>
    </w:tbl>
    <w:p w14:paraId="5B60D3BF" w14:textId="77777777" w:rsidR="00133B4B" w:rsidRDefault="00133B4B" w:rsidP="00133B4B">
      <w:pPr>
        <w:jc w:val="both"/>
      </w:pPr>
    </w:p>
    <w:p w14:paraId="2CA83189" w14:textId="77777777" w:rsidR="00133B4B" w:rsidRDefault="00133B4B" w:rsidP="00133B4B">
      <w:pPr>
        <w:jc w:val="center"/>
        <w:rPr>
          <w:b/>
        </w:rPr>
      </w:pPr>
      <w:r>
        <w:rPr>
          <w:b/>
          <w:lang w:val="en-US"/>
        </w:rPr>
        <w:t>V</w:t>
      </w:r>
      <w:r>
        <w:rPr>
          <w:b/>
        </w:rPr>
        <w:t>. Механізм і заходи, які забезпечать розв’язання визначеної проблеми шляхом прийняття запропонованого регуляторного акта</w:t>
      </w:r>
    </w:p>
    <w:p w14:paraId="4B8124DE" w14:textId="77777777" w:rsidR="00133B4B" w:rsidRDefault="00133B4B" w:rsidP="00133B4B">
      <w:pPr>
        <w:jc w:val="both"/>
      </w:pPr>
      <w:r w:rsidRPr="0021496C">
        <w:tab/>
        <w:t>При прийнятті запропонованого регуляторного акта будуть діяти наступні механізми та заходи, які забезпечать розв’язання визначених проблем:</w:t>
      </w:r>
    </w:p>
    <w:p w14:paraId="34703928" w14:textId="77777777" w:rsidR="00133B4B" w:rsidRDefault="00133B4B" w:rsidP="00133B4B">
      <w:pPr>
        <w:numPr>
          <w:ilvl w:val="0"/>
          <w:numId w:val="18"/>
        </w:numPr>
        <w:jc w:val="both"/>
      </w:pPr>
      <w:r>
        <w:t>прийняття рішення щодо встановлення норм надання послуг із вивезення побутових відходів у залежності від джерел утворення, які розраховані відповідно до наказу Міністерства з питань житлово-комунального господарства України «Про затвердження Правил визначення норм надання послуг з вивезення побутових відходів» від 30.07.2010р. №259.;</w:t>
      </w:r>
    </w:p>
    <w:p w14:paraId="504D8B92" w14:textId="77777777" w:rsidR="00133B4B" w:rsidRDefault="00133B4B" w:rsidP="00133B4B">
      <w:pPr>
        <w:numPr>
          <w:ilvl w:val="0"/>
          <w:numId w:val="18"/>
        </w:numPr>
        <w:jc w:val="both"/>
      </w:pPr>
      <w:r>
        <w:t>планування робіт з організації надання послуг із провадження з побутовими відходами;</w:t>
      </w:r>
    </w:p>
    <w:p w14:paraId="49F04A49" w14:textId="77777777" w:rsidR="00133B4B" w:rsidRDefault="00133B4B" w:rsidP="00133B4B">
      <w:pPr>
        <w:numPr>
          <w:ilvl w:val="0"/>
          <w:numId w:val="18"/>
        </w:numPr>
        <w:jc w:val="both"/>
      </w:pPr>
      <w:r>
        <w:t>доведення інформації до споживачів І та ІІ групи шляхом розміщення інформації на офіційному сайті мережі Інтернет Острозької міської ради;</w:t>
      </w:r>
    </w:p>
    <w:p w14:paraId="225EC217" w14:textId="77777777" w:rsidR="00133B4B" w:rsidRDefault="00133B4B" w:rsidP="00133B4B">
      <w:pPr>
        <w:numPr>
          <w:ilvl w:val="0"/>
          <w:numId w:val="18"/>
        </w:numPr>
        <w:jc w:val="both"/>
      </w:pPr>
      <w:r>
        <w:t xml:space="preserve">підвищення рівня організації робіт у сфері поводження з побутовими відходами та якості послуг із вивезення побутових відходів. </w:t>
      </w:r>
    </w:p>
    <w:p w14:paraId="2848B197" w14:textId="77777777" w:rsidR="00133B4B" w:rsidRDefault="00133B4B" w:rsidP="00133B4B">
      <w:pPr>
        <w:jc w:val="center"/>
        <w:rPr>
          <w:b/>
        </w:rPr>
      </w:pPr>
    </w:p>
    <w:p w14:paraId="07D1C167" w14:textId="77777777" w:rsidR="00133B4B" w:rsidRDefault="00133B4B" w:rsidP="00133B4B">
      <w:pPr>
        <w:jc w:val="center"/>
        <w:rPr>
          <w:b/>
        </w:rPr>
      </w:pPr>
      <w:r>
        <w:rPr>
          <w:b/>
          <w:lang w:val="en-US"/>
        </w:rPr>
        <w:t>V</w:t>
      </w:r>
      <w:r>
        <w:rPr>
          <w:b/>
        </w:rPr>
        <w:t>І. Оцінка виконання вимог регуляторного акта</w:t>
      </w:r>
    </w:p>
    <w:p w14:paraId="14F55434" w14:textId="77777777" w:rsidR="00133B4B" w:rsidRDefault="00133B4B" w:rsidP="00133B4B">
      <w:pPr>
        <w:jc w:val="both"/>
        <w:rPr>
          <w:b/>
        </w:rPr>
      </w:pPr>
      <w:r>
        <w:tab/>
        <w:t>При затвердженні норм надання послуг з вивезення побутових відходів відповідно до чинного законодавства, очікуваним результатом є :</w:t>
      </w:r>
      <w:r>
        <w:rPr>
          <w:b/>
        </w:rPr>
        <w:t xml:space="preserve"> </w:t>
      </w:r>
    </w:p>
    <w:p w14:paraId="22AC02D1" w14:textId="77777777" w:rsidR="00133B4B" w:rsidRPr="00CB3DB0" w:rsidRDefault="00133B4B" w:rsidP="00133B4B">
      <w:pPr>
        <w:numPr>
          <w:ilvl w:val="0"/>
          <w:numId w:val="18"/>
        </w:numPr>
        <w:jc w:val="both"/>
      </w:pPr>
      <w:r w:rsidRPr="00CB3DB0">
        <w:t>установлення норм надання послуг із вивезення побутових відходів у залежності від джерел їх утворення;</w:t>
      </w:r>
    </w:p>
    <w:p w14:paraId="3BF4E10B" w14:textId="77777777" w:rsidR="00133B4B" w:rsidRPr="00CB3DB0" w:rsidRDefault="00133B4B" w:rsidP="00133B4B">
      <w:pPr>
        <w:numPr>
          <w:ilvl w:val="0"/>
          <w:numId w:val="18"/>
        </w:numPr>
        <w:jc w:val="both"/>
      </w:pPr>
      <w:r w:rsidRPr="00CB3DB0">
        <w:t>урегулювання відносин у сфері надання послуг з поводження із побутовими відходами та дотримання вимог чинного законодавства при розрахунку вартості послуг із поводження з побутовими відходами;</w:t>
      </w:r>
    </w:p>
    <w:p w14:paraId="3C6A4A06" w14:textId="77777777" w:rsidR="00133B4B" w:rsidRPr="00CB3DB0" w:rsidRDefault="00133B4B" w:rsidP="00133B4B">
      <w:pPr>
        <w:numPr>
          <w:ilvl w:val="0"/>
          <w:numId w:val="18"/>
        </w:numPr>
        <w:jc w:val="both"/>
      </w:pPr>
      <w:r w:rsidRPr="00CB3DB0">
        <w:t>урегулювання відносин між споживачами та виконавцями комунальних послуг з організації збирання та вивезення побутових відходів, шляхом укладання договорів та контролю за дотримання виконавцем послуг графіків із вивезення побутових відходів.</w:t>
      </w:r>
    </w:p>
    <w:p w14:paraId="54A698A7" w14:textId="77777777" w:rsidR="00133B4B" w:rsidRPr="00E11AA5" w:rsidRDefault="00133B4B" w:rsidP="00133B4B">
      <w:pPr>
        <w:ind w:left="120"/>
        <w:jc w:val="both"/>
      </w:pPr>
      <w:r>
        <w:rPr>
          <w:b/>
        </w:rPr>
        <w:t xml:space="preserve"> </w:t>
      </w:r>
      <w:r w:rsidRPr="003321EA">
        <w:rPr>
          <w:b/>
          <w:lang w:val="ru-RU"/>
        </w:rPr>
        <w:t xml:space="preserve">          </w:t>
      </w:r>
      <w:r w:rsidRPr="00E11AA5">
        <w:t>У разі прийняття запропонованого регуляторного акта вигоди та витрати будуть</w:t>
      </w:r>
    </w:p>
    <w:p w14:paraId="163B1BA8" w14:textId="77777777" w:rsidR="00133B4B" w:rsidRPr="00E11AA5" w:rsidRDefault="00133B4B" w:rsidP="00133B4B">
      <w:r w:rsidRPr="00E11AA5">
        <w:t>наступні :</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669"/>
        <w:gridCol w:w="2924"/>
      </w:tblGrid>
      <w:tr w:rsidR="00133B4B" w:rsidRPr="000042AA" w14:paraId="2515D433" w14:textId="77777777" w:rsidTr="008E470A">
        <w:tc>
          <w:tcPr>
            <w:tcW w:w="2328" w:type="dxa"/>
            <w:shd w:val="clear" w:color="auto" w:fill="auto"/>
          </w:tcPr>
          <w:p w14:paraId="74A0BF77" w14:textId="77777777" w:rsidR="00133B4B" w:rsidRPr="000042AA" w:rsidRDefault="00133B4B" w:rsidP="008E470A">
            <w:pPr>
              <w:jc w:val="center"/>
              <w:rPr>
                <w:b/>
              </w:rPr>
            </w:pPr>
            <w:r w:rsidRPr="000042AA">
              <w:rPr>
                <w:b/>
              </w:rPr>
              <w:t>Рейтинг</w:t>
            </w:r>
          </w:p>
        </w:tc>
        <w:tc>
          <w:tcPr>
            <w:tcW w:w="3918" w:type="dxa"/>
            <w:shd w:val="clear" w:color="auto" w:fill="auto"/>
          </w:tcPr>
          <w:p w14:paraId="55DE245A" w14:textId="77777777" w:rsidR="00133B4B" w:rsidRPr="000042AA" w:rsidRDefault="00133B4B" w:rsidP="008E470A">
            <w:pPr>
              <w:jc w:val="center"/>
              <w:rPr>
                <w:b/>
              </w:rPr>
            </w:pPr>
            <w:r w:rsidRPr="000042AA">
              <w:rPr>
                <w:b/>
              </w:rPr>
              <w:t>Вигоди</w:t>
            </w:r>
          </w:p>
        </w:tc>
        <w:tc>
          <w:tcPr>
            <w:tcW w:w="3129" w:type="dxa"/>
            <w:shd w:val="clear" w:color="auto" w:fill="auto"/>
          </w:tcPr>
          <w:p w14:paraId="46256EBB" w14:textId="77777777" w:rsidR="00133B4B" w:rsidRPr="000042AA" w:rsidRDefault="00133B4B" w:rsidP="008E470A">
            <w:pPr>
              <w:jc w:val="center"/>
              <w:rPr>
                <w:b/>
              </w:rPr>
            </w:pPr>
            <w:r w:rsidRPr="000042AA">
              <w:rPr>
                <w:b/>
              </w:rPr>
              <w:t>Витрати</w:t>
            </w:r>
          </w:p>
        </w:tc>
      </w:tr>
      <w:tr w:rsidR="00133B4B" w:rsidRPr="000042AA" w14:paraId="47D00556" w14:textId="77777777" w:rsidTr="008E470A">
        <w:tc>
          <w:tcPr>
            <w:tcW w:w="2328" w:type="dxa"/>
            <w:shd w:val="clear" w:color="auto" w:fill="auto"/>
          </w:tcPr>
          <w:p w14:paraId="517A8151" w14:textId="77777777" w:rsidR="00133B4B" w:rsidRDefault="00133B4B" w:rsidP="008E470A">
            <w:pPr>
              <w:jc w:val="both"/>
            </w:pPr>
            <w:r w:rsidRPr="00A7425B">
              <w:t>Альтернатива 1</w:t>
            </w:r>
          </w:p>
          <w:p w14:paraId="63BFE3A1" w14:textId="77777777" w:rsidR="00133B4B" w:rsidRDefault="00133B4B" w:rsidP="008E470A">
            <w:pPr>
              <w:jc w:val="both"/>
            </w:pPr>
            <w:r>
              <w:t>Орган місцевого самоврядування</w:t>
            </w:r>
          </w:p>
        </w:tc>
        <w:tc>
          <w:tcPr>
            <w:tcW w:w="3918" w:type="dxa"/>
            <w:shd w:val="clear" w:color="auto" w:fill="auto"/>
          </w:tcPr>
          <w:p w14:paraId="538C8435" w14:textId="77777777" w:rsidR="00133B4B" w:rsidRPr="00E11AA5" w:rsidRDefault="00133B4B" w:rsidP="008E470A">
            <w:pPr>
              <w:jc w:val="both"/>
            </w:pPr>
            <w:r>
              <w:t xml:space="preserve">  </w:t>
            </w:r>
            <w:r w:rsidRPr="00E11AA5">
              <w:t>Урегулювання  відносин між споживачами та виконавцями комунальних послуг з організації надання послуг із поводження з побутовими відходами</w:t>
            </w:r>
          </w:p>
          <w:p w14:paraId="50B8D499" w14:textId="77777777" w:rsidR="00133B4B" w:rsidRPr="00E11AA5" w:rsidRDefault="00133B4B" w:rsidP="008E470A">
            <w:pPr>
              <w:jc w:val="both"/>
            </w:pPr>
            <w:r>
              <w:lastRenderedPageBreak/>
              <w:t xml:space="preserve">   </w:t>
            </w:r>
            <w:r w:rsidRPr="00E11AA5">
              <w:t>Поліпшення санітарно-епідеміологічного стану територіальної громади</w:t>
            </w:r>
          </w:p>
        </w:tc>
        <w:tc>
          <w:tcPr>
            <w:tcW w:w="3129" w:type="dxa"/>
            <w:shd w:val="clear" w:color="auto" w:fill="auto"/>
          </w:tcPr>
          <w:p w14:paraId="5DC0C846" w14:textId="77777777" w:rsidR="00133B4B" w:rsidRPr="00E11AA5" w:rsidRDefault="00133B4B" w:rsidP="008E470A">
            <w:pPr>
              <w:jc w:val="both"/>
            </w:pPr>
            <w:r>
              <w:lastRenderedPageBreak/>
              <w:t xml:space="preserve">   Часові, пов’язані зі здійсненням контролю за наданням послуг із поводженням із побутовими відходами </w:t>
            </w:r>
          </w:p>
        </w:tc>
      </w:tr>
      <w:tr w:rsidR="00133B4B" w:rsidRPr="000042AA" w14:paraId="293B3C63" w14:textId="77777777" w:rsidTr="008E470A">
        <w:tc>
          <w:tcPr>
            <w:tcW w:w="2328" w:type="dxa"/>
            <w:shd w:val="clear" w:color="auto" w:fill="auto"/>
          </w:tcPr>
          <w:p w14:paraId="1269A144" w14:textId="77777777" w:rsidR="00133B4B" w:rsidRDefault="00133B4B" w:rsidP="008E470A">
            <w:pPr>
              <w:jc w:val="both"/>
            </w:pPr>
            <w:r>
              <w:t>Альтернатива 2</w:t>
            </w:r>
          </w:p>
          <w:p w14:paraId="795C6C31" w14:textId="77777777" w:rsidR="00133B4B" w:rsidRDefault="00133B4B" w:rsidP="008E470A">
            <w:pPr>
              <w:jc w:val="both"/>
            </w:pPr>
            <w:r>
              <w:t>Суб’єкти господарювання</w:t>
            </w:r>
          </w:p>
          <w:p w14:paraId="69AF805F" w14:textId="77777777" w:rsidR="00133B4B" w:rsidRPr="00A7425B" w:rsidRDefault="00133B4B" w:rsidP="008E470A">
            <w:pPr>
              <w:jc w:val="both"/>
            </w:pPr>
          </w:p>
        </w:tc>
        <w:tc>
          <w:tcPr>
            <w:tcW w:w="3918" w:type="dxa"/>
            <w:shd w:val="clear" w:color="auto" w:fill="auto"/>
          </w:tcPr>
          <w:p w14:paraId="0CDC9DFF" w14:textId="77777777" w:rsidR="00133B4B" w:rsidRPr="00E11AA5" w:rsidRDefault="00133B4B" w:rsidP="008E470A">
            <w:pPr>
              <w:jc w:val="both"/>
            </w:pPr>
            <w:r>
              <w:t xml:space="preserve">  Створення умов для підвищення ефективності функціонування суб’єктів господарювання</w:t>
            </w:r>
          </w:p>
        </w:tc>
        <w:tc>
          <w:tcPr>
            <w:tcW w:w="3129" w:type="dxa"/>
            <w:shd w:val="clear" w:color="auto" w:fill="auto"/>
          </w:tcPr>
          <w:p w14:paraId="06A5FF2E" w14:textId="77777777" w:rsidR="00133B4B" w:rsidRDefault="00133B4B" w:rsidP="008E470A">
            <w:pPr>
              <w:jc w:val="both"/>
            </w:pPr>
            <w:r>
              <w:t xml:space="preserve">   Відсутні</w:t>
            </w:r>
          </w:p>
        </w:tc>
      </w:tr>
      <w:tr w:rsidR="00133B4B" w:rsidRPr="000042AA" w14:paraId="4295DDBC" w14:textId="77777777" w:rsidTr="008E470A">
        <w:tc>
          <w:tcPr>
            <w:tcW w:w="2328" w:type="dxa"/>
            <w:shd w:val="clear" w:color="auto" w:fill="auto"/>
          </w:tcPr>
          <w:p w14:paraId="6088700A" w14:textId="77777777" w:rsidR="00133B4B" w:rsidRDefault="00133B4B" w:rsidP="008E470A">
            <w:pPr>
              <w:jc w:val="both"/>
            </w:pPr>
            <w:r>
              <w:t>Альтернатива 3</w:t>
            </w:r>
          </w:p>
          <w:p w14:paraId="6D3F13CF" w14:textId="77777777" w:rsidR="00133B4B" w:rsidRDefault="00133B4B" w:rsidP="008E470A">
            <w:pPr>
              <w:jc w:val="both"/>
            </w:pPr>
            <w:r>
              <w:t>Населення</w:t>
            </w:r>
          </w:p>
          <w:p w14:paraId="27E7E6C9" w14:textId="77777777" w:rsidR="00133B4B" w:rsidRDefault="00133B4B" w:rsidP="008E470A">
            <w:pPr>
              <w:jc w:val="both"/>
            </w:pPr>
          </w:p>
        </w:tc>
        <w:tc>
          <w:tcPr>
            <w:tcW w:w="3918" w:type="dxa"/>
            <w:shd w:val="clear" w:color="auto" w:fill="auto"/>
          </w:tcPr>
          <w:p w14:paraId="068D66CB" w14:textId="77777777" w:rsidR="00133B4B" w:rsidRDefault="00133B4B" w:rsidP="008E470A">
            <w:pPr>
              <w:jc w:val="both"/>
            </w:pPr>
            <w:r>
              <w:t xml:space="preserve">  Реалізація державної політики  у сфері поводження із побутовими відходами.</w:t>
            </w:r>
          </w:p>
          <w:p w14:paraId="79AD2EF1" w14:textId="77777777" w:rsidR="00133B4B" w:rsidRDefault="00133B4B" w:rsidP="008E470A">
            <w:pPr>
              <w:jc w:val="both"/>
            </w:pPr>
            <w:r>
              <w:t xml:space="preserve">  Підвищення рівня якості організації надання послуг із збиранням та вивезення побутових відходів, поліпшення санітарного стану територіальної громади.</w:t>
            </w:r>
          </w:p>
          <w:p w14:paraId="03EED269" w14:textId="77777777" w:rsidR="00133B4B" w:rsidRDefault="00133B4B" w:rsidP="008E470A">
            <w:pPr>
              <w:jc w:val="both"/>
            </w:pPr>
            <w:r>
              <w:t xml:space="preserve">   Збалансування інтересів між суб’єктами господарювання, що надають такі послуги , органом місцевого самоврядування та споживачами послуг;</w:t>
            </w:r>
          </w:p>
          <w:p w14:paraId="7C0AA72F" w14:textId="77777777" w:rsidR="00133B4B" w:rsidRDefault="00133B4B" w:rsidP="008E470A">
            <w:pPr>
              <w:jc w:val="both"/>
            </w:pPr>
            <w:r>
              <w:t xml:space="preserve">   Зменшення навантаження на місцевий бюджет у частині виділення коштів на ліквідацію несанкціонованих сміттєзвалищ.</w:t>
            </w:r>
          </w:p>
        </w:tc>
        <w:tc>
          <w:tcPr>
            <w:tcW w:w="3129" w:type="dxa"/>
            <w:shd w:val="clear" w:color="auto" w:fill="auto"/>
          </w:tcPr>
          <w:p w14:paraId="3FBCBA40" w14:textId="77777777" w:rsidR="00133B4B" w:rsidRDefault="00133B4B" w:rsidP="008E470A">
            <w:pPr>
              <w:jc w:val="both"/>
            </w:pPr>
            <w:r>
              <w:t xml:space="preserve">  Витрати часу на укладання договорів з виконавцем комунальних послуг з сфері поводження з побутовими відходами.</w:t>
            </w:r>
          </w:p>
          <w:p w14:paraId="4641EC9C" w14:textId="77777777" w:rsidR="00133B4B" w:rsidRDefault="00133B4B" w:rsidP="008E470A">
            <w:pPr>
              <w:jc w:val="both"/>
            </w:pPr>
          </w:p>
          <w:p w14:paraId="6A1F01D3" w14:textId="77777777" w:rsidR="00133B4B" w:rsidRDefault="00133B4B" w:rsidP="008E470A">
            <w:pPr>
              <w:jc w:val="both"/>
            </w:pPr>
            <w:r>
              <w:t xml:space="preserve">Кошти, пов’язані з оплатою послуг із поводженням з побутовими відходами. </w:t>
            </w:r>
          </w:p>
        </w:tc>
      </w:tr>
    </w:tbl>
    <w:p w14:paraId="0A684639" w14:textId="77777777" w:rsidR="00133B4B" w:rsidRPr="00AA70CE" w:rsidRDefault="00133B4B" w:rsidP="00133B4B">
      <w:pPr>
        <w:ind w:left="480"/>
        <w:jc w:val="both"/>
      </w:pPr>
      <w:r w:rsidRPr="00AA70CE">
        <w:tab/>
        <w:t>Перевагою обраного способу досягнення визначених цілей є встановлення норм</w:t>
      </w:r>
    </w:p>
    <w:p w14:paraId="5D5AB2C6" w14:textId="77777777" w:rsidR="00133B4B" w:rsidRPr="00AA70CE" w:rsidRDefault="00133B4B" w:rsidP="00133B4B">
      <w:pPr>
        <w:jc w:val="both"/>
      </w:pPr>
      <w:r w:rsidRPr="00AA70CE">
        <w:t>надання послуг з вивезення побутових відходів відповідно до норм чинного законодавства України, і як наслідок:</w:t>
      </w:r>
    </w:p>
    <w:p w14:paraId="7B894D5D" w14:textId="77777777" w:rsidR="00133B4B" w:rsidRPr="0095630E" w:rsidRDefault="00133B4B" w:rsidP="00133B4B">
      <w:pPr>
        <w:numPr>
          <w:ilvl w:val="0"/>
          <w:numId w:val="18"/>
        </w:numPr>
      </w:pPr>
      <w:r w:rsidRPr="0095630E">
        <w:t>підвищення рівня якості організації робіт у сфері надання послуг з  поводження з</w:t>
      </w:r>
    </w:p>
    <w:p w14:paraId="5D69D727" w14:textId="77777777" w:rsidR="00133B4B" w:rsidRPr="0095630E" w:rsidRDefault="00133B4B" w:rsidP="00133B4B">
      <w:r w:rsidRPr="0095630E">
        <w:t>побутовими відходами;</w:t>
      </w:r>
    </w:p>
    <w:p w14:paraId="406FE270" w14:textId="77777777" w:rsidR="00133B4B" w:rsidRPr="00B7070D" w:rsidRDefault="00133B4B" w:rsidP="00133B4B">
      <w:pPr>
        <w:numPr>
          <w:ilvl w:val="0"/>
          <w:numId w:val="18"/>
        </w:numPr>
        <w:jc w:val="both"/>
      </w:pPr>
      <w:r w:rsidRPr="00B7070D">
        <w:t>поліпшення санітарно - епідеміологічного стану територіальної громади;</w:t>
      </w:r>
    </w:p>
    <w:p w14:paraId="1F4EB26A" w14:textId="77777777" w:rsidR="00133B4B" w:rsidRPr="00B7070D" w:rsidRDefault="00133B4B" w:rsidP="00133B4B">
      <w:pPr>
        <w:numPr>
          <w:ilvl w:val="0"/>
          <w:numId w:val="18"/>
        </w:numPr>
        <w:jc w:val="both"/>
      </w:pPr>
      <w:r w:rsidRPr="00B7070D">
        <w:t>зменшення навантаження на міський бюджет в частині виділення коштів на</w:t>
      </w:r>
    </w:p>
    <w:p w14:paraId="291F4A2D" w14:textId="77777777" w:rsidR="00133B4B" w:rsidRDefault="00133B4B" w:rsidP="00133B4B">
      <w:pPr>
        <w:jc w:val="both"/>
      </w:pPr>
      <w:r w:rsidRPr="00B7070D">
        <w:t>ліквідацію несанкціонованих звалищ.</w:t>
      </w:r>
    </w:p>
    <w:p w14:paraId="306D66A2" w14:textId="77777777" w:rsidR="00133B4B" w:rsidRDefault="00133B4B" w:rsidP="00133B4B">
      <w:pPr>
        <w:jc w:val="both"/>
      </w:pPr>
      <w:r>
        <w:tab/>
        <w:t>Перегляд норм є об’єктивною необхідністю обумовленою чинним законодавства України. При цьому їх затвердження не передбачає додаткових затрат.</w:t>
      </w:r>
      <w:r>
        <w:tab/>
      </w:r>
    </w:p>
    <w:p w14:paraId="700716DC" w14:textId="77777777" w:rsidR="00133B4B" w:rsidRDefault="00133B4B" w:rsidP="00133B4B">
      <w:pPr>
        <w:jc w:val="both"/>
      </w:pPr>
      <w:r>
        <w:tab/>
        <w:t xml:space="preserve">Застосування цих норм у розрахунках (щодо визначення вартості вивезення, об’ємів відходів, що утворюються на відповідних об’єктах, при плануванні, тощо) дозволить уникнути розбіжностей між їх розрахунковими та реальними (економічно обґрунтованими та фактично підтвердженими практикою) числовими вираженнями. </w:t>
      </w:r>
    </w:p>
    <w:p w14:paraId="5B04F719" w14:textId="77777777" w:rsidR="00133B4B" w:rsidRDefault="00133B4B" w:rsidP="00133B4B">
      <w:pPr>
        <w:jc w:val="both"/>
      </w:pPr>
      <w:r>
        <w:t xml:space="preserve">           Таким чином проблема та основна ціль, сформовані в цьому аналізі, будуть вирішені. Відповідно будуть створені передумови для досягнення цілей, які є результатом опосередкованого впливу норм на галузь. В якості наслідку реалізації запропонованого механізму, окрім вирішення поставленої проблеми, очікується також значний позитивний (системний) вплив на галузь в цілому. Реалізація запропонованого механізму не вимагає від органів місцевого самоврядування великих витрат. Таким чином впровадження практично не залежить від матеріального фактору. </w:t>
      </w:r>
    </w:p>
    <w:p w14:paraId="6888599D" w14:textId="77777777" w:rsidR="00133B4B" w:rsidRDefault="00133B4B" w:rsidP="00133B4B">
      <w:pPr>
        <w:jc w:val="both"/>
        <w:rPr>
          <w:b/>
        </w:rPr>
      </w:pPr>
      <w:r>
        <w:tab/>
      </w:r>
    </w:p>
    <w:p w14:paraId="51E2CC94" w14:textId="77777777" w:rsidR="00133B4B" w:rsidRDefault="00133B4B" w:rsidP="00133B4B">
      <w:pPr>
        <w:jc w:val="both"/>
      </w:pPr>
      <w:r>
        <w:rPr>
          <w:b/>
        </w:rPr>
        <w:tab/>
      </w:r>
      <w:r>
        <w:rPr>
          <w:b/>
          <w:lang w:val="en-US"/>
        </w:rPr>
        <w:t>V</w:t>
      </w:r>
      <w:r>
        <w:rPr>
          <w:b/>
        </w:rPr>
        <w:t>ІІ. Обґрунтування запропонованого терміну дії регуляторного акта</w:t>
      </w:r>
      <w:r>
        <w:t xml:space="preserve">  </w:t>
      </w:r>
    </w:p>
    <w:p w14:paraId="04CF1CDD" w14:textId="77777777" w:rsidR="00133B4B" w:rsidRDefault="00133B4B" w:rsidP="00133B4B">
      <w:pPr>
        <w:jc w:val="both"/>
      </w:pPr>
      <w:r>
        <w:tab/>
        <w:t>Термін дії запропонованого регуляторного акта встановлюється на 5 років. Відповідно до п.7 постанови Кабінету Міністрів України «Про затвердження Правил надання послуг з вивезення побутових відходів» від 10.12.2008р. №1070, норми переглядаються один раз на п’ять років.</w:t>
      </w:r>
    </w:p>
    <w:p w14:paraId="18930E9F" w14:textId="77777777" w:rsidR="00133B4B" w:rsidRDefault="00133B4B" w:rsidP="00133B4B">
      <w:pPr>
        <w:jc w:val="both"/>
      </w:pPr>
      <w:r>
        <w:tab/>
        <w:t xml:space="preserve">У разі  внесення змін в чине законодавство і значних змін у розрахункових показниках, числове вираження якого може динамічно збільшуватися у зв’язку  зі зміною багатьох чинників, насамперед рівня життя населення. В такому випадку до регуляторного </w:t>
      </w:r>
      <w:r>
        <w:lastRenderedPageBreak/>
        <w:t>акта буде внесено зміни або прийнято новий регуляторний акт в установленому чинним законодавством порядку.</w:t>
      </w:r>
    </w:p>
    <w:p w14:paraId="5CA4B669" w14:textId="77777777" w:rsidR="00133B4B" w:rsidRDefault="00133B4B" w:rsidP="00133B4B">
      <w:pPr>
        <w:jc w:val="both"/>
      </w:pPr>
    </w:p>
    <w:p w14:paraId="35F6D361" w14:textId="77777777" w:rsidR="00133B4B" w:rsidRDefault="00133B4B" w:rsidP="00133B4B">
      <w:pPr>
        <w:jc w:val="both"/>
        <w:rPr>
          <w:b/>
        </w:rPr>
      </w:pPr>
      <w:r>
        <w:tab/>
      </w:r>
      <w:r>
        <w:rPr>
          <w:b/>
          <w:lang w:val="en-US"/>
        </w:rPr>
        <w:t>V</w:t>
      </w:r>
      <w:r>
        <w:rPr>
          <w:b/>
        </w:rPr>
        <w:t>ІІІ. Визначення показників результативності дії регуляторного акту</w:t>
      </w:r>
    </w:p>
    <w:p w14:paraId="59180608" w14:textId="77777777" w:rsidR="00133B4B" w:rsidRDefault="00133B4B" w:rsidP="00133B4B">
      <w:pPr>
        <w:jc w:val="both"/>
      </w:pPr>
      <w:r>
        <w:tab/>
        <w:t>Статистичними показниками результативності дії регуляторного акта є:</w:t>
      </w:r>
    </w:p>
    <w:p w14:paraId="09AC39ED" w14:textId="77777777" w:rsidR="00133B4B" w:rsidRDefault="00133B4B" w:rsidP="00133B4B">
      <w:pPr>
        <w:numPr>
          <w:ilvl w:val="0"/>
          <w:numId w:val="18"/>
        </w:numPr>
        <w:jc w:val="both"/>
      </w:pPr>
      <w:r>
        <w:t>обсяг наданих послуг із поводження з побутовими відходами;</w:t>
      </w:r>
    </w:p>
    <w:p w14:paraId="2F36E47C" w14:textId="77777777" w:rsidR="00133B4B" w:rsidRDefault="00133B4B" w:rsidP="00133B4B">
      <w:pPr>
        <w:numPr>
          <w:ilvl w:val="0"/>
          <w:numId w:val="18"/>
        </w:numPr>
        <w:jc w:val="both"/>
      </w:pPr>
      <w:r>
        <w:t>рівень оплати послуг по поводженню із побутовими відходами;</w:t>
      </w:r>
    </w:p>
    <w:p w14:paraId="67E8230A" w14:textId="77777777" w:rsidR="00133B4B" w:rsidRDefault="00133B4B" w:rsidP="00133B4B">
      <w:pPr>
        <w:numPr>
          <w:ilvl w:val="0"/>
          <w:numId w:val="18"/>
        </w:numPr>
        <w:jc w:val="both"/>
      </w:pPr>
      <w:r>
        <w:t>покращення санітарно-епідеміологічного стану територіальної громади Острозького</w:t>
      </w:r>
    </w:p>
    <w:p w14:paraId="4F952719" w14:textId="77777777" w:rsidR="00133B4B" w:rsidRDefault="00133B4B" w:rsidP="00133B4B">
      <w:pPr>
        <w:jc w:val="both"/>
      </w:pPr>
      <w:r>
        <w:t>ОТГ, через зменшення кількості несанкціонованих сміттєзвалищ;</w:t>
      </w:r>
    </w:p>
    <w:p w14:paraId="2809DC93" w14:textId="77777777" w:rsidR="00133B4B" w:rsidRDefault="00133B4B" w:rsidP="00133B4B">
      <w:pPr>
        <w:numPr>
          <w:ilvl w:val="0"/>
          <w:numId w:val="18"/>
        </w:numPr>
        <w:jc w:val="both"/>
      </w:pPr>
      <w:r>
        <w:t>складені адміністративні протоколи та обсяг сплачених штрафних санкцій за порушення</w:t>
      </w:r>
    </w:p>
    <w:p w14:paraId="1D5FBBDC" w14:textId="77777777" w:rsidR="00133B4B" w:rsidRDefault="00133B4B" w:rsidP="00133B4B">
      <w:pPr>
        <w:jc w:val="both"/>
      </w:pPr>
      <w:r>
        <w:t>вимог щодо поводження з побутовими відходами.</w:t>
      </w:r>
    </w:p>
    <w:p w14:paraId="7CB6B332" w14:textId="77777777" w:rsidR="00133B4B" w:rsidRDefault="00133B4B" w:rsidP="00133B4B">
      <w:pPr>
        <w:ind w:left="120"/>
        <w:jc w:val="both"/>
      </w:pPr>
      <w:r>
        <w:tab/>
        <w:t xml:space="preserve">На підставі даних, отриманих при проведені обстеження результативності регуляторного акту в разі його прийняття, буде можливо зробити висновок про досягнення очікуваних результатів та цілей регулювання. </w:t>
      </w:r>
    </w:p>
    <w:p w14:paraId="080581EC" w14:textId="77777777" w:rsidR="00133B4B" w:rsidRDefault="00133B4B" w:rsidP="00133B4B">
      <w:pPr>
        <w:ind w:left="120"/>
        <w:jc w:val="both"/>
        <w:rPr>
          <w:b/>
        </w:rPr>
      </w:pPr>
      <w:r>
        <w:rPr>
          <w:b/>
        </w:rPr>
        <w:tab/>
      </w:r>
    </w:p>
    <w:p w14:paraId="5655FED8" w14:textId="77777777" w:rsidR="00133B4B" w:rsidRDefault="00133B4B" w:rsidP="00133B4B">
      <w:pPr>
        <w:ind w:left="120"/>
        <w:jc w:val="center"/>
        <w:rPr>
          <w:b/>
        </w:rPr>
      </w:pPr>
      <w:r>
        <w:rPr>
          <w:b/>
        </w:rPr>
        <w:t xml:space="preserve">ІХ. Визначення заходів, за допомогою яких здійснюється відстеження </w:t>
      </w:r>
    </w:p>
    <w:p w14:paraId="3C1E8294" w14:textId="77777777" w:rsidR="00133B4B" w:rsidRDefault="00133B4B" w:rsidP="00133B4B">
      <w:pPr>
        <w:ind w:left="120"/>
        <w:jc w:val="center"/>
        <w:rPr>
          <w:b/>
        </w:rPr>
      </w:pPr>
      <w:r>
        <w:rPr>
          <w:b/>
        </w:rPr>
        <w:t>дії регуляторного акта</w:t>
      </w:r>
    </w:p>
    <w:p w14:paraId="798446FF" w14:textId="77777777" w:rsidR="00133B4B" w:rsidRDefault="00133B4B" w:rsidP="00133B4B">
      <w:pPr>
        <w:ind w:left="120"/>
        <w:jc w:val="both"/>
      </w:pPr>
      <w:r>
        <w:tab/>
        <w:t xml:space="preserve">Оцінка ефективності регуляторного акту буде здійснюватися за допомогою проведення повторного та періодичного відстеження результативності регуляторного акту. </w:t>
      </w:r>
    </w:p>
    <w:p w14:paraId="62A49FAB" w14:textId="77777777" w:rsidR="00133B4B" w:rsidRDefault="00133B4B" w:rsidP="00133B4B">
      <w:pPr>
        <w:ind w:left="120"/>
        <w:jc w:val="both"/>
      </w:pPr>
      <w:r>
        <w:tab/>
        <w:t>Терміни проведення базового, повторного, періодично відстеження  результативності регуляторного акта:</w:t>
      </w:r>
    </w:p>
    <w:p w14:paraId="608E46D9" w14:textId="77777777" w:rsidR="00133B4B" w:rsidRDefault="00133B4B" w:rsidP="00133B4B">
      <w:pPr>
        <w:numPr>
          <w:ilvl w:val="0"/>
          <w:numId w:val="18"/>
        </w:numPr>
        <w:jc w:val="both"/>
      </w:pPr>
      <w:r>
        <w:t>базове відстеження після набрання чинності регуляторного акта,але не пізніше дня , з</w:t>
      </w:r>
    </w:p>
    <w:p w14:paraId="4D40E9F8" w14:textId="77777777" w:rsidR="00133B4B" w:rsidRDefault="00133B4B" w:rsidP="00133B4B">
      <w:pPr>
        <w:jc w:val="both"/>
      </w:pPr>
      <w:r>
        <w:t xml:space="preserve">якого починається проведення повторного відстеження результативності цього регуляторного акта; </w:t>
      </w:r>
    </w:p>
    <w:p w14:paraId="4E5CA197" w14:textId="77777777" w:rsidR="00133B4B" w:rsidRDefault="00133B4B" w:rsidP="00133B4B">
      <w:pPr>
        <w:numPr>
          <w:ilvl w:val="0"/>
          <w:numId w:val="18"/>
        </w:numPr>
        <w:jc w:val="both"/>
      </w:pPr>
      <w:r>
        <w:t>повторне відстеження – через рік з дня набрання чинності регуляторного акта, але не</w:t>
      </w:r>
    </w:p>
    <w:p w14:paraId="52AFF72B" w14:textId="77777777" w:rsidR="00133B4B" w:rsidRDefault="00133B4B" w:rsidP="00133B4B">
      <w:pPr>
        <w:jc w:val="both"/>
      </w:pPr>
      <w:r>
        <w:t xml:space="preserve">пізніше ніж через 2 роки; </w:t>
      </w:r>
    </w:p>
    <w:p w14:paraId="43AA1A3E" w14:textId="77777777" w:rsidR="00133B4B" w:rsidRPr="00864E55" w:rsidRDefault="00133B4B" w:rsidP="00133B4B">
      <w:pPr>
        <w:jc w:val="both"/>
      </w:pPr>
      <w:r>
        <w:t xml:space="preserve">   - періодичне відстеження – раз на три роки після повторного відстеження.</w:t>
      </w:r>
    </w:p>
    <w:p w14:paraId="6FBD8C65" w14:textId="77777777" w:rsidR="00133B4B" w:rsidRPr="004B6363" w:rsidRDefault="00133B4B" w:rsidP="00133B4B">
      <w:pPr>
        <w:pStyle w:val="HTMLPreformatted"/>
        <w:shd w:val="clear" w:color="auto" w:fill="FFFFFF"/>
        <w:rPr>
          <w:rFonts w:ascii="Consolas" w:hAnsi="Consolas"/>
          <w:color w:val="212529"/>
          <w:sz w:val="23"/>
          <w:szCs w:val="23"/>
        </w:rPr>
      </w:pPr>
      <w:r>
        <w:rPr>
          <w:rFonts w:ascii="Consolas" w:hAnsi="Consolas"/>
          <w:b/>
          <w:bCs/>
          <w:color w:val="212529"/>
          <w:sz w:val="23"/>
          <w:szCs w:val="23"/>
        </w:rPr>
        <w:tab/>
      </w:r>
      <w:r>
        <w:rPr>
          <w:rFonts w:ascii="Consolas" w:hAnsi="Consolas"/>
          <w:b/>
          <w:bCs/>
          <w:color w:val="212529"/>
          <w:sz w:val="23"/>
          <w:szCs w:val="23"/>
        </w:rPr>
        <w:br/>
      </w:r>
      <w:r>
        <w:rPr>
          <w:rFonts w:ascii="Consolas" w:hAnsi="Consolas"/>
          <w:b/>
          <w:bCs/>
          <w:color w:val="212529"/>
          <w:sz w:val="23"/>
          <w:szCs w:val="23"/>
        </w:rPr>
        <w:tab/>
      </w:r>
    </w:p>
    <w:p w14:paraId="55BFF0A8" w14:textId="77777777" w:rsidR="00133B4B" w:rsidRPr="00CC7C96" w:rsidRDefault="00133B4B" w:rsidP="00133B4B">
      <w:pPr>
        <w:rPr>
          <w:b/>
        </w:rPr>
      </w:pPr>
    </w:p>
    <w:p w14:paraId="3F804183" w14:textId="77777777" w:rsidR="00133B4B" w:rsidRDefault="00133B4B" w:rsidP="00133B4B">
      <w:pPr>
        <w:jc w:val="both"/>
      </w:pPr>
      <w:r>
        <w:t xml:space="preserve">Директор Острозького </w:t>
      </w:r>
    </w:p>
    <w:p w14:paraId="365E0852" w14:textId="77777777" w:rsidR="00133B4B" w:rsidRDefault="00133B4B" w:rsidP="00133B4B">
      <w:pPr>
        <w:jc w:val="both"/>
      </w:pPr>
      <w:r>
        <w:t xml:space="preserve">  КП «Водоканал»                                                                           Іван ТКАЧУК</w:t>
      </w:r>
    </w:p>
    <w:p w14:paraId="27C8C4A1" w14:textId="3D972F98" w:rsidR="002B220E" w:rsidRPr="00133B4B" w:rsidRDefault="002B220E" w:rsidP="00133B4B"/>
    <w:sectPr w:rsidR="002B220E" w:rsidRPr="00133B4B" w:rsidSect="00B47C2E">
      <w:footerReference w:type="even" r:id="rId7"/>
      <w:footerReference w:type="default" r:id="rId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92863" w14:textId="77777777" w:rsidR="00D920ED" w:rsidRDefault="00D920ED">
      <w:r>
        <w:separator/>
      </w:r>
    </w:p>
  </w:endnote>
  <w:endnote w:type="continuationSeparator" w:id="0">
    <w:p w14:paraId="5AA07DFC" w14:textId="77777777" w:rsidR="00D920ED" w:rsidRDefault="00D9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0250"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9973AD" w14:textId="77777777" w:rsidR="00B47C2E" w:rsidRDefault="00D920ED" w:rsidP="00B47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8BE3" w14:textId="77777777" w:rsidR="00B47C2E" w:rsidRDefault="007F3874" w:rsidP="00257D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B845908" w14:textId="77777777" w:rsidR="00B47C2E" w:rsidRDefault="00D920ED" w:rsidP="00B47C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D3AF" w14:textId="77777777" w:rsidR="00D920ED" w:rsidRDefault="00D920ED">
      <w:r>
        <w:separator/>
      </w:r>
    </w:p>
  </w:footnote>
  <w:footnote w:type="continuationSeparator" w:id="0">
    <w:p w14:paraId="100DE09F" w14:textId="77777777" w:rsidR="00D920ED" w:rsidRDefault="00D92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CBA"/>
    <w:multiLevelType w:val="hybridMultilevel"/>
    <w:tmpl w:val="D6D2CF86"/>
    <w:lvl w:ilvl="0" w:tplc="34C00F1A">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9042F5"/>
    <w:multiLevelType w:val="hybridMultilevel"/>
    <w:tmpl w:val="FF9A6CAC"/>
    <w:lvl w:ilvl="0" w:tplc="4B6A7E3A">
      <w:start w:val="1"/>
      <w:numFmt w:val="decimal"/>
      <w:lvlText w:val="%1."/>
      <w:lvlJc w:val="left"/>
      <w:pPr>
        <w:tabs>
          <w:tab w:val="num" w:pos="660"/>
        </w:tabs>
        <w:ind w:left="660" w:hanging="360"/>
      </w:pPr>
      <w:rPr>
        <w:rFonts w:hint="default"/>
      </w:rPr>
    </w:lvl>
    <w:lvl w:ilvl="1" w:tplc="04220019" w:tentative="1">
      <w:start w:val="1"/>
      <w:numFmt w:val="lowerLetter"/>
      <w:lvlText w:val="%2."/>
      <w:lvlJc w:val="left"/>
      <w:pPr>
        <w:tabs>
          <w:tab w:val="num" w:pos="1380"/>
        </w:tabs>
        <w:ind w:left="1380" w:hanging="360"/>
      </w:pPr>
    </w:lvl>
    <w:lvl w:ilvl="2" w:tplc="0422001B" w:tentative="1">
      <w:start w:val="1"/>
      <w:numFmt w:val="lowerRoman"/>
      <w:lvlText w:val="%3."/>
      <w:lvlJc w:val="right"/>
      <w:pPr>
        <w:tabs>
          <w:tab w:val="num" w:pos="2100"/>
        </w:tabs>
        <w:ind w:left="2100" w:hanging="180"/>
      </w:pPr>
    </w:lvl>
    <w:lvl w:ilvl="3" w:tplc="0422000F" w:tentative="1">
      <w:start w:val="1"/>
      <w:numFmt w:val="decimal"/>
      <w:lvlText w:val="%4."/>
      <w:lvlJc w:val="left"/>
      <w:pPr>
        <w:tabs>
          <w:tab w:val="num" w:pos="2820"/>
        </w:tabs>
        <w:ind w:left="2820" w:hanging="360"/>
      </w:pPr>
    </w:lvl>
    <w:lvl w:ilvl="4" w:tplc="04220019" w:tentative="1">
      <w:start w:val="1"/>
      <w:numFmt w:val="lowerLetter"/>
      <w:lvlText w:val="%5."/>
      <w:lvlJc w:val="left"/>
      <w:pPr>
        <w:tabs>
          <w:tab w:val="num" w:pos="3540"/>
        </w:tabs>
        <w:ind w:left="3540" w:hanging="360"/>
      </w:pPr>
    </w:lvl>
    <w:lvl w:ilvl="5" w:tplc="0422001B" w:tentative="1">
      <w:start w:val="1"/>
      <w:numFmt w:val="lowerRoman"/>
      <w:lvlText w:val="%6."/>
      <w:lvlJc w:val="right"/>
      <w:pPr>
        <w:tabs>
          <w:tab w:val="num" w:pos="4260"/>
        </w:tabs>
        <w:ind w:left="4260" w:hanging="180"/>
      </w:pPr>
    </w:lvl>
    <w:lvl w:ilvl="6" w:tplc="0422000F" w:tentative="1">
      <w:start w:val="1"/>
      <w:numFmt w:val="decimal"/>
      <w:lvlText w:val="%7."/>
      <w:lvlJc w:val="left"/>
      <w:pPr>
        <w:tabs>
          <w:tab w:val="num" w:pos="4980"/>
        </w:tabs>
        <w:ind w:left="4980" w:hanging="360"/>
      </w:pPr>
    </w:lvl>
    <w:lvl w:ilvl="7" w:tplc="04220019" w:tentative="1">
      <w:start w:val="1"/>
      <w:numFmt w:val="lowerLetter"/>
      <w:lvlText w:val="%8."/>
      <w:lvlJc w:val="left"/>
      <w:pPr>
        <w:tabs>
          <w:tab w:val="num" w:pos="5700"/>
        </w:tabs>
        <w:ind w:left="5700" w:hanging="360"/>
      </w:pPr>
    </w:lvl>
    <w:lvl w:ilvl="8" w:tplc="0422001B" w:tentative="1">
      <w:start w:val="1"/>
      <w:numFmt w:val="lowerRoman"/>
      <w:lvlText w:val="%9."/>
      <w:lvlJc w:val="right"/>
      <w:pPr>
        <w:tabs>
          <w:tab w:val="num" w:pos="6420"/>
        </w:tabs>
        <w:ind w:left="6420" w:hanging="180"/>
      </w:pPr>
    </w:lvl>
  </w:abstractNum>
  <w:abstractNum w:abstractNumId="2" w15:restartNumberingAfterBreak="0">
    <w:nsid w:val="0BA60025"/>
    <w:multiLevelType w:val="hybridMultilevel"/>
    <w:tmpl w:val="02D86736"/>
    <w:lvl w:ilvl="0" w:tplc="54906F86">
      <w:start w:val="2"/>
      <w:numFmt w:val="bullet"/>
      <w:lvlText w:val="-"/>
      <w:lvlJc w:val="left"/>
      <w:pPr>
        <w:tabs>
          <w:tab w:val="num" w:pos="600"/>
        </w:tabs>
        <w:ind w:left="600" w:hanging="360"/>
      </w:pPr>
      <w:rPr>
        <w:rFonts w:ascii="Times New Roman" w:eastAsia="Times New Roman" w:hAnsi="Times New Roman" w:cs="Times New Roman" w:hint="default"/>
      </w:rPr>
    </w:lvl>
    <w:lvl w:ilvl="1" w:tplc="04220003" w:tentative="1">
      <w:start w:val="1"/>
      <w:numFmt w:val="bullet"/>
      <w:lvlText w:val="o"/>
      <w:lvlJc w:val="left"/>
      <w:pPr>
        <w:tabs>
          <w:tab w:val="num" w:pos="1320"/>
        </w:tabs>
        <w:ind w:left="1320" w:hanging="360"/>
      </w:pPr>
      <w:rPr>
        <w:rFonts w:ascii="Courier New" w:hAnsi="Courier New" w:cs="Courier New" w:hint="default"/>
      </w:rPr>
    </w:lvl>
    <w:lvl w:ilvl="2" w:tplc="04220005" w:tentative="1">
      <w:start w:val="1"/>
      <w:numFmt w:val="bullet"/>
      <w:lvlText w:val=""/>
      <w:lvlJc w:val="left"/>
      <w:pPr>
        <w:tabs>
          <w:tab w:val="num" w:pos="2040"/>
        </w:tabs>
        <w:ind w:left="2040" w:hanging="360"/>
      </w:pPr>
      <w:rPr>
        <w:rFonts w:ascii="Wingdings" w:hAnsi="Wingdings" w:hint="default"/>
      </w:rPr>
    </w:lvl>
    <w:lvl w:ilvl="3" w:tplc="04220001" w:tentative="1">
      <w:start w:val="1"/>
      <w:numFmt w:val="bullet"/>
      <w:lvlText w:val=""/>
      <w:lvlJc w:val="left"/>
      <w:pPr>
        <w:tabs>
          <w:tab w:val="num" w:pos="2760"/>
        </w:tabs>
        <w:ind w:left="2760" w:hanging="360"/>
      </w:pPr>
      <w:rPr>
        <w:rFonts w:ascii="Symbol" w:hAnsi="Symbol" w:hint="default"/>
      </w:rPr>
    </w:lvl>
    <w:lvl w:ilvl="4" w:tplc="04220003" w:tentative="1">
      <w:start w:val="1"/>
      <w:numFmt w:val="bullet"/>
      <w:lvlText w:val="o"/>
      <w:lvlJc w:val="left"/>
      <w:pPr>
        <w:tabs>
          <w:tab w:val="num" w:pos="3480"/>
        </w:tabs>
        <w:ind w:left="3480" w:hanging="360"/>
      </w:pPr>
      <w:rPr>
        <w:rFonts w:ascii="Courier New" w:hAnsi="Courier New" w:cs="Courier New" w:hint="default"/>
      </w:rPr>
    </w:lvl>
    <w:lvl w:ilvl="5" w:tplc="04220005" w:tentative="1">
      <w:start w:val="1"/>
      <w:numFmt w:val="bullet"/>
      <w:lvlText w:val=""/>
      <w:lvlJc w:val="left"/>
      <w:pPr>
        <w:tabs>
          <w:tab w:val="num" w:pos="4200"/>
        </w:tabs>
        <w:ind w:left="4200" w:hanging="360"/>
      </w:pPr>
      <w:rPr>
        <w:rFonts w:ascii="Wingdings" w:hAnsi="Wingdings" w:hint="default"/>
      </w:rPr>
    </w:lvl>
    <w:lvl w:ilvl="6" w:tplc="04220001" w:tentative="1">
      <w:start w:val="1"/>
      <w:numFmt w:val="bullet"/>
      <w:lvlText w:val=""/>
      <w:lvlJc w:val="left"/>
      <w:pPr>
        <w:tabs>
          <w:tab w:val="num" w:pos="4920"/>
        </w:tabs>
        <w:ind w:left="4920" w:hanging="360"/>
      </w:pPr>
      <w:rPr>
        <w:rFonts w:ascii="Symbol" w:hAnsi="Symbol" w:hint="default"/>
      </w:rPr>
    </w:lvl>
    <w:lvl w:ilvl="7" w:tplc="04220003" w:tentative="1">
      <w:start w:val="1"/>
      <w:numFmt w:val="bullet"/>
      <w:lvlText w:val="o"/>
      <w:lvlJc w:val="left"/>
      <w:pPr>
        <w:tabs>
          <w:tab w:val="num" w:pos="5640"/>
        </w:tabs>
        <w:ind w:left="5640" w:hanging="360"/>
      </w:pPr>
      <w:rPr>
        <w:rFonts w:ascii="Courier New" w:hAnsi="Courier New" w:cs="Courier New" w:hint="default"/>
      </w:rPr>
    </w:lvl>
    <w:lvl w:ilvl="8" w:tplc="0422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0CC87B92"/>
    <w:multiLevelType w:val="hybridMultilevel"/>
    <w:tmpl w:val="B36CCC50"/>
    <w:lvl w:ilvl="0" w:tplc="A9941B8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4" w15:restartNumberingAfterBreak="0">
    <w:nsid w:val="12127883"/>
    <w:multiLevelType w:val="hybridMultilevel"/>
    <w:tmpl w:val="A20E77C6"/>
    <w:lvl w:ilvl="0" w:tplc="2410F2A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5" w15:restartNumberingAfterBreak="0">
    <w:nsid w:val="1B4C712E"/>
    <w:multiLevelType w:val="multilevel"/>
    <w:tmpl w:val="7C461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A4004F"/>
    <w:multiLevelType w:val="hybridMultilevel"/>
    <w:tmpl w:val="F8CC74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15:restartNumberingAfterBreak="0">
    <w:nsid w:val="21B71FE3"/>
    <w:multiLevelType w:val="hybridMultilevel"/>
    <w:tmpl w:val="1A7A0C5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15:restartNumberingAfterBreak="0">
    <w:nsid w:val="25AF5BCC"/>
    <w:multiLevelType w:val="multilevel"/>
    <w:tmpl w:val="DE225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2E400B3"/>
    <w:multiLevelType w:val="multilevel"/>
    <w:tmpl w:val="0D641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6F8158F"/>
    <w:multiLevelType w:val="hybridMultilevel"/>
    <w:tmpl w:val="E39A2698"/>
    <w:lvl w:ilvl="0" w:tplc="ECBC8E7E">
      <w:start w:val="1"/>
      <w:numFmt w:val="bullet"/>
      <w:lvlText w:val="-"/>
      <w:lvlJc w:val="left"/>
      <w:pPr>
        <w:tabs>
          <w:tab w:val="num" w:pos="480"/>
        </w:tabs>
        <w:ind w:left="480" w:hanging="360"/>
      </w:pPr>
      <w:rPr>
        <w:rFonts w:ascii="Times New Roman" w:eastAsia="Times New Roman" w:hAnsi="Times New Roman" w:cs="Times New Roman" w:hint="default"/>
      </w:rPr>
    </w:lvl>
    <w:lvl w:ilvl="1" w:tplc="04220003" w:tentative="1">
      <w:start w:val="1"/>
      <w:numFmt w:val="bullet"/>
      <w:lvlText w:val="o"/>
      <w:lvlJc w:val="left"/>
      <w:pPr>
        <w:tabs>
          <w:tab w:val="num" w:pos="1200"/>
        </w:tabs>
        <w:ind w:left="1200" w:hanging="360"/>
      </w:pPr>
      <w:rPr>
        <w:rFonts w:ascii="Courier New" w:hAnsi="Courier New" w:cs="Courier New" w:hint="default"/>
      </w:rPr>
    </w:lvl>
    <w:lvl w:ilvl="2" w:tplc="04220005" w:tentative="1">
      <w:start w:val="1"/>
      <w:numFmt w:val="bullet"/>
      <w:lvlText w:val=""/>
      <w:lvlJc w:val="left"/>
      <w:pPr>
        <w:tabs>
          <w:tab w:val="num" w:pos="1920"/>
        </w:tabs>
        <w:ind w:left="1920" w:hanging="360"/>
      </w:pPr>
      <w:rPr>
        <w:rFonts w:ascii="Wingdings" w:hAnsi="Wingdings" w:hint="default"/>
      </w:rPr>
    </w:lvl>
    <w:lvl w:ilvl="3" w:tplc="04220001" w:tentative="1">
      <w:start w:val="1"/>
      <w:numFmt w:val="bullet"/>
      <w:lvlText w:val=""/>
      <w:lvlJc w:val="left"/>
      <w:pPr>
        <w:tabs>
          <w:tab w:val="num" w:pos="2640"/>
        </w:tabs>
        <w:ind w:left="2640" w:hanging="360"/>
      </w:pPr>
      <w:rPr>
        <w:rFonts w:ascii="Symbol" w:hAnsi="Symbol" w:hint="default"/>
      </w:rPr>
    </w:lvl>
    <w:lvl w:ilvl="4" w:tplc="04220003" w:tentative="1">
      <w:start w:val="1"/>
      <w:numFmt w:val="bullet"/>
      <w:lvlText w:val="o"/>
      <w:lvlJc w:val="left"/>
      <w:pPr>
        <w:tabs>
          <w:tab w:val="num" w:pos="3360"/>
        </w:tabs>
        <w:ind w:left="3360" w:hanging="360"/>
      </w:pPr>
      <w:rPr>
        <w:rFonts w:ascii="Courier New" w:hAnsi="Courier New" w:cs="Courier New" w:hint="default"/>
      </w:rPr>
    </w:lvl>
    <w:lvl w:ilvl="5" w:tplc="04220005" w:tentative="1">
      <w:start w:val="1"/>
      <w:numFmt w:val="bullet"/>
      <w:lvlText w:val=""/>
      <w:lvlJc w:val="left"/>
      <w:pPr>
        <w:tabs>
          <w:tab w:val="num" w:pos="4080"/>
        </w:tabs>
        <w:ind w:left="4080" w:hanging="360"/>
      </w:pPr>
      <w:rPr>
        <w:rFonts w:ascii="Wingdings" w:hAnsi="Wingdings" w:hint="default"/>
      </w:rPr>
    </w:lvl>
    <w:lvl w:ilvl="6" w:tplc="04220001" w:tentative="1">
      <w:start w:val="1"/>
      <w:numFmt w:val="bullet"/>
      <w:lvlText w:val=""/>
      <w:lvlJc w:val="left"/>
      <w:pPr>
        <w:tabs>
          <w:tab w:val="num" w:pos="4800"/>
        </w:tabs>
        <w:ind w:left="4800" w:hanging="360"/>
      </w:pPr>
      <w:rPr>
        <w:rFonts w:ascii="Symbol" w:hAnsi="Symbol" w:hint="default"/>
      </w:rPr>
    </w:lvl>
    <w:lvl w:ilvl="7" w:tplc="04220003" w:tentative="1">
      <w:start w:val="1"/>
      <w:numFmt w:val="bullet"/>
      <w:lvlText w:val="o"/>
      <w:lvlJc w:val="left"/>
      <w:pPr>
        <w:tabs>
          <w:tab w:val="num" w:pos="5520"/>
        </w:tabs>
        <w:ind w:left="5520" w:hanging="360"/>
      </w:pPr>
      <w:rPr>
        <w:rFonts w:ascii="Courier New" w:hAnsi="Courier New" w:cs="Courier New" w:hint="default"/>
      </w:rPr>
    </w:lvl>
    <w:lvl w:ilvl="8" w:tplc="04220005" w:tentative="1">
      <w:start w:val="1"/>
      <w:numFmt w:val="bullet"/>
      <w:lvlText w:val=""/>
      <w:lvlJc w:val="left"/>
      <w:pPr>
        <w:tabs>
          <w:tab w:val="num" w:pos="6240"/>
        </w:tabs>
        <w:ind w:left="6240" w:hanging="360"/>
      </w:pPr>
      <w:rPr>
        <w:rFonts w:ascii="Wingdings" w:hAnsi="Wingdings" w:hint="default"/>
      </w:rPr>
    </w:lvl>
  </w:abstractNum>
  <w:abstractNum w:abstractNumId="11" w15:restartNumberingAfterBreak="0">
    <w:nsid w:val="3B0D189C"/>
    <w:multiLevelType w:val="hybridMultilevel"/>
    <w:tmpl w:val="CE868BB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40B40ADF"/>
    <w:multiLevelType w:val="multilevel"/>
    <w:tmpl w:val="9C086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47E3577"/>
    <w:multiLevelType w:val="hybridMultilevel"/>
    <w:tmpl w:val="99582C70"/>
    <w:lvl w:ilvl="0" w:tplc="61D0C1C8">
      <w:start w:val="1"/>
      <w:numFmt w:val="decimal"/>
      <w:lvlText w:val="%1."/>
      <w:lvlJc w:val="left"/>
      <w:pPr>
        <w:tabs>
          <w:tab w:val="num" w:pos="795"/>
        </w:tabs>
        <w:ind w:left="795" w:hanging="435"/>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58AC1043"/>
    <w:multiLevelType w:val="hybridMultilevel"/>
    <w:tmpl w:val="24E01C26"/>
    <w:lvl w:ilvl="0" w:tplc="6472E0F2">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5" w15:restartNumberingAfterBreak="0">
    <w:nsid w:val="5B0A5BC0"/>
    <w:multiLevelType w:val="hybridMultilevel"/>
    <w:tmpl w:val="B85AFDFC"/>
    <w:lvl w:ilvl="0" w:tplc="81A05802">
      <w:start w:val="9"/>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64B1199"/>
    <w:multiLevelType w:val="hybridMultilevel"/>
    <w:tmpl w:val="FFE20E08"/>
    <w:lvl w:ilvl="0" w:tplc="117C36D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E840851"/>
    <w:multiLevelType w:val="hybridMultilevel"/>
    <w:tmpl w:val="A8B488DC"/>
    <w:lvl w:ilvl="0" w:tplc="B4304410">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
  </w:num>
  <w:num w:numId="3">
    <w:abstractNumId w:val="13"/>
  </w:num>
  <w:num w:numId="4">
    <w:abstractNumId w:val="6"/>
  </w:num>
  <w:num w:numId="5">
    <w:abstractNumId w:val="4"/>
  </w:num>
  <w:num w:numId="6">
    <w:abstractNumId w:val="7"/>
  </w:num>
  <w:num w:numId="7">
    <w:abstractNumId w:val="3"/>
  </w:num>
  <w:num w:numId="8">
    <w:abstractNumId w:val="1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20E"/>
    <w:rsid w:val="00133B4B"/>
    <w:rsid w:val="002B220E"/>
    <w:rsid w:val="0066476D"/>
    <w:rsid w:val="007F3874"/>
    <w:rsid w:val="008C0429"/>
    <w:rsid w:val="00A94309"/>
    <w:rsid w:val="00D6557D"/>
    <w:rsid w:val="00D920ED"/>
    <w:rsid w:val="00FA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517E"/>
  <w15:chartTrackingRefBased/>
  <w15:docId w15:val="{F7FFB44A-B6A9-49CF-B89E-91F2941D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6D"/>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4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F3874"/>
    <w:pPr>
      <w:spacing w:before="100" w:beforeAutospacing="1" w:after="100" w:afterAutospacing="1"/>
    </w:pPr>
  </w:style>
  <w:style w:type="character" w:styleId="Strong">
    <w:name w:val="Strong"/>
    <w:basedOn w:val="DefaultParagraphFont"/>
    <w:qFormat/>
    <w:rsid w:val="007F3874"/>
    <w:rPr>
      <w:b/>
      <w:bCs/>
    </w:rPr>
  </w:style>
  <w:style w:type="character" w:styleId="Emphasis">
    <w:name w:val="Emphasis"/>
    <w:basedOn w:val="DefaultParagraphFont"/>
    <w:qFormat/>
    <w:rsid w:val="007F3874"/>
    <w:rPr>
      <w:i/>
      <w:iCs/>
    </w:rPr>
  </w:style>
  <w:style w:type="paragraph" w:styleId="Footer">
    <w:name w:val="footer"/>
    <w:basedOn w:val="Normal"/>
    <w:link w:val="FooterChar"/>
    <w:rsid w:val="007F3874"/>
    <w:pPr>
      <w:tabs>
        <w:tab w:val="center" w:pos="4677"/>
        <w:tab w:val="right" w:pos="9355"/>
      </w:tabs>
    </w:pPr>
    <w:rPr>
      <w:lang w:val="ru-RU" w:eastAsia="ru-RU"/>
    </w:rPr>
  </w:style>
  <w:style w:type="character" w:customStyle="1" w:styleId="FooterChar">
    <w:name w:val="Footer Char"/>
    <w:basedOn w:val="DefaultParagraphFont"/>
    <w:link w:val="Footer"/>
    <w:rsid w:val="007F3874"/>
    <w:rPr>
      <w:rFonts w:ascii="Times New Roman" w:eastAsia="Times New Roman" w:hAnsi="Times New Roman" w:cs="Times New Roman"/>
      <w:sz w:val="24"/>
      <w:szCs w:val="24"/>
      <w:lang w:val="ru-RU" w:eastAsia="ru-RU"/>
    </w:rPr>
  </w:style>
  <w:style w:type="character" w:styleId="PageNumber">
    <w:name w:val="page number"/>
    <w:basedOn w:val="DefaultParagraphFont"/>
    <w:rsid w:val="007F3874"/>
  </w:style>
  <w:style w:type="character" w:customStyle="1" w:styleId="StyleZakonu">
    <w:name w:val="StyleZakonu Знак"/>
    <w:link w:val="StyleZakonu0"/>
    <w:locked/>
    <w:rsid w:val="00D6557D"/>
    <w:rPr>
      <w:lang w:val="uk-UA" w:eastAsia="ru-RU"/>
    </w:rPr>
  </w:style>
  <w:style w:type="paragraph" w:customStyle="1" w:styleId="StyleZakonu0">
    <w:name w:val="StyleZakonu"/>
    <w:basedOn w:val="Normal"/>
    <w:link w:val="StyleZakonu"/>
    <w:rsid w:val="00D6557D"/>
    <w:pPr>
      <w:spacing w:after="60" w:line="220" w:lineRule="exact"/>
      <w:ind w:firstLine="284"/>
      <w:contextualSpacing/>
      <w:jc w:val="both"/>
    </w:pPr>
    <w:rPr>
      <w:rFonts w:asciiTheme="minorHAnsi" w:eastAsiaTheme="minorHAnsi" w:hAnsiTheme="minorHAnsi" w:cstheme="minorBidi"/>
      <w:sz w:val="22"/>
      <w:szCs w:val="22"/>
      <w:lang w:eastAsia="ru-RU"/>
    </w:rPr>
  </w:style>
  <w:style w:type="paragraph" w:customStyle="1" w:styleId="rvps2">
    <w:name w:val="rvps2"/>
    <w:basedOn w:val="Normal"/>
    <w:rsid w:val="00D6557D"/>
    <w:pPr>
      <w:spacing w:before="100" w:beforeAutospacing="1" w:after="100" w:afterAutospacing="1"/>
      <w:contextualSpacing/>
    </w:pPr>
    <w:rPr>
      <w:rFonts w:eastAsia="Calibri"/>
      <w:lang w:val="ru-RU" w:eastAsia="ru-RU"/>
    </w:rPr>
  </w:style>
  <w:style w:type="paragraph" w:customStyle="1" w:styleId="rvps14">
    <w:name w:val="rvps14"/>
    <w:basedOn w:val="Normal"/>
    <w:rsid w:val="00D6557D"/>
    <w:pPr>
      <w:spacing w:before="100" w:beforeAutospacing="1" w:after="100" w:afterAutospacing="1"/>
      <w:contextualSpacing/>
    </w:pPr>
    <w:rPr>
      <w:rFonts w:eastAsia="Calibri"/>
      <w:lang w:val="ru-RU" w:eastAsia="ru-RU"/>
    </w:rPr>
  </w:style>
  <w:style w:type="paragraph" w:customStyle="1" w:styleId="msonormalcxspmiddle">
    <w:name w:val="msonormalcxspmiddle"/>
    <w:basedOn w:val="Normal"/>
    <w:rsid w:val="00D6557D"/>
    <w:pPr>
      <w:spacing w:before="100" w:beforeAutospacing="1" w:after="100" w:afterAutospacing="1"/>
      <w:contextualSpacing/>
    </w:pPr>
    <w:rPr>
      <w:lang w:val="ru-RU" w:eastAsia="ru-RU"/>
    </w:rPr>
  </w:style>
  <w:style w:type="paragraph" w:customStyle="1" w:styleId="msonormalcxspmiddlecxsplast">
    <w:name w:val="msonormalcxspmiddlecxsplast"/>
    <w:basedOn w:val="Normal"/>
    <w:rsid w:val="00D6557D"/>
    <w:pPr>
      <w:spacing w:before="100" w:beforeAutospacing="1" w:after="100" w:afterAutospacing="1"/>
      <w:contextualSpacing/>
    </w:pPr>
    <w:rPr>
      <w:lang w:val="ru-RU" w:eastAsia="ru-RU"/>
    </w:rPr>
  </w:style>
  <w:style w:type="character" w:customStyle="1" w:styleId="rvts11">
    <w:name w:val="rvts11"/>
    <w:basedOn w:val="DefaultParagraphFont"/>
    <w:rsid w:val="00D6557D"/>
    <w:rPr>
      <w:rFonts w:ascii="Times New Roman" w:hAnsi="Times New Roman" w:cs="Times New Roman" w:hint="default"/>
    </w:rPr>
  </w:style>
  <w:style w:type="character" w:customStyle="1" w:styleId="BodyTextChar">
    <w:name w:val="Body Text Char"/>
    <w:link w:val="BodyText"/>
    <w:locked/>
    <w:rsid w:val="00D6557D"/>
    <w:rPr>
      <w:sz w:val="28"/>
      <w:lang w:val="uk-UA" w:eastAsia="ar-SA"/>
    </w:rPr>
  </w:style>
  <w:style w:type="paragraph" w:styleId="BodyText">
    <w:name w:val="Body Text"/>
    <w:basedOn w:val="Normal"/>
    <w:link w:val="BodyTextChar"/>
    <w:rsid w:val="00D6557D"/>
    <w:pPr>
      <w:suppressAutoHyphens/>
      <w:jc w:val="both"/>
    </w:pPr>
    <w:rPr>
      <w:rFonts w:asciiTheme="minorHAnsi" w:eastAsiaTheme="minorHAnsi" w:hAnsiTheme="minorHAnsi" w:cstheme="minorBidi"/>
      <w:sz w:val="28"/>
      <w:szCs w:val="22"/>
      <w:lang w:eastAsia="ar-SA"/>
    </w:rPr>
  </w:style>
  <w:style w:type="character" w:customStyle="1" w:styleId="BodyTextChar1">
    <w:name w:val="Body Text Char1"/>
    <w:basedOn w:val="DefaultParagraphFont"/>
    <w:uiPriority w:val="99"/>
    <w:semiHidden/>
    <w:rsid w:val="00D6557D"/>
    <w:rPr>
      <w:rFonts w:ascii="Times New Roman" w:eastAsia="Times New Roman" w:hAnsi="Times New Roman" w:cs="Times New Roman"/>
      <w:sz w:val="24"/>
      <w:szCs w:val="24"/>
      <w:lang w:val="uk-UA" w:eastAsia="uk-UA"/>
    </w:rPr>
  </w:style>
  <w:style w:type="paragraph" w:styleId="HTMLPreformatted">
    <w:name w:val="HTML Preformatted"/>
    <w:basedOn w:val="Normal"/>
    <w:link w:val="HTMLPreformattedChar"/>
    <w:rsid w:val="00133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33B4B"/>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2650</Words>
  <Characters>15107</Characters>
  <Application>Microsoft Office Word</Application>
  <DocSecurity>0</DocSecurity>
  <Lines>125</Lines>
  <Paragraphs>35</Paragraphs>
  <ScaleCrop>false</ScaleCrop>
  <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Varyshniuk</dc:creator>
  <cp:keywords/>
  <dc:description/>
  <cp:lastModifiedBy>Volodymyr Varyshniuk</cp:lastModifiedBy>
  <cp:revision>7</cp:revision>
  <dcterms:created xsi:type="dcterms:W3CDTF">2020-02-13T08:58:00Z</dcterms:created>
  <dcterms:modified xsi:type="dcterms:W3CDTF">2020-06-30T09:01:00Z</dcterms:modified>
</cp:coreProperties>
</file>