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88" w:rsidRDefault="001D6B88" w:rsidP="00D06F6F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1</w:t>
      </w:r>
    </w:p>
    <w:p w:rsidR="001D6B88" w:rsidRPr="00124B01" w:rsidRDefault="001D6B88" w:rsidP="00124B01">
      <w:pPr>
        <w:jc w:val="center"/>
        <w:rPr>
          <w:rFonts w:eastAsia="Times New Roman"/>
        </w:rPr>
      </w:pPr>
      <w:r>
        <w:rPr>
          <w:rFonts w:eastAsia="Times New Roman"/>
        </w:rPr>
        <w:t xml:space="preserve">  </w:t>
      </w:r>
    </w:p>
    <w:p w:rsidR="001D6B88" w:rsidRDefault="001D6B88" w:rsidP="00124B01">
      <w:pPr>
        <w:jc w:val="center"/>
        <w:rPr>
          <w:sz w:val="28"/>
          <w:szCs w:val="28"/>
        </w:rPr>
      </w:pPr>
    </w:p>
    <w:p w:rsidR="001D6B88" w:rsidRPr="000C6AE3" w:rsidRDefault="001D6B88" w:rsidP="00124B01">
      <w:pPr>
        <w:jc w:val="center"/>
        <w:rPr>
          <w:sz w:val="28"/>
          <w:szCs w:val="28"/>
        </w:rPr>
      </w:pPr>
      <w:r>
        <w:rPr>
          <w:noProof/>
          <w:lang w:val="en-US" w:eastAsia="en-US"/>
        </w:rPr>
        <w:pict>
          <v:line id="Прямая соединительная линия 1" o:spid="_x0000_s1026" style="position:absolute;left:0;text-align:left;z-index:251658240;visibility:visibl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Pr="000C6AE3">
        <w:rPr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4.25pt" o:ole="">
            <v:imagedata r:id="rId5" o:title=""/>
          </v:shape>
          <o:OLEObject Type="Embed" ProgID="Paint.Picture" ShapeID="_x0000_i1025" DrawAspect="Content" ObjectID="_1478066130" r:id="rId6"/>
        </w:object>
      </w:r>
    </w:p>
    <w:p w:rsidR="001D6B88" w:rsidRPr="000C6AE3" w:rsidRDefault="001D6B88" w:rsidP="00124B01">
      <w:pPr>
        <w:jc w:val="center"/>
        <w:outlineLvl w:val="0"/>
        <w:rPr>
          <w:b/>
          <w:sz w:val="28"/>
          <w:szCs w:val="28"/>
        </w:rPr>
      </w:pPr>
      <w:r w:rsidRPr="000C6AE3">
        <w:rPr>
          <w:b/>
          <w:sz w:val="28"/>
          <w:szCs w:val="28"/>
        </w:rPr>
        <w:t>УКРАЇНА</w:t>
      </w:r>
    </w:p>
    <w:p w:rsidR="001D6B88" w:rsidRPr="000C6AE3" w:rsidRDefault="001D6B88" w:rsidP="00124B01">
      <w:pPr>
        <w:jc w:val="center"/>
        <w:outlineLvl w:val="0"/>
        <w:rPr>
          <w:b/>
          <w:sz w:val="28"/>
          <w:szCs w:val="28"/>
        </w:rPr>
      </w:pPr>
      <w:r w:rsidRPr="000C6AE3">
        <w:rPr>
          <w:b/>
          <w:sz w:val="28"/>
          <w:szCs w:val="28"/>
        </w:rPr>
        <w:t>ОСТРОЗЬКА МІСЬКА РАДА РІВНЕНСЬКОЇ ОБЛАСТІ</w:t>
      </w:r>
    </w:p>
    <w:p w:rsidR="001D6B88" w:rsidRPr="000C6AE3" w:rsidRDefault="001D6B88" w:rsidP="00124B01">
      <w:pPr>
        <w:jc w:val="center"/>
        <w:outlineLvl w:val="0"/>
        <w:rPr>
          <w:b/>
          <w:sz w:val="28"/>
          <w:szCs w:val="28"/>
        </w:rPr>
      </w:pPr>
      <w:r w:rsidRPr="000C6AE3">
        <w:rPr>
          <w:b/>
          <w:sz w:val="28"/>
          <w:szCs w:val="28"/>
        </w:rPr>
        <w:t>РІШЕННЯ</w:t>
      </w:r>
    </w:p>
    <w:p w:rsidR="001D6B88" w:rsidRPr="000C6AE3" w:rsidRDefault="001D6B88" w:rsidP="00124B01">
      <w:pPr>
        <w:jc w:val="center"/>
        <w:outlineLvl w:val="0"/>
        <w:rPr>
          <w:b/>
          <w:sz w:val="28"/>
          <w:szCs w:val="28"/>
        </w:rPr>
      </w:pPr>
      <w:r w:rsidRPr="000C6AE3">
        <w:rPr>
          <w:b/>
          <w:sz w:val="28"/>
          <w:szCs w:val="28"/>
        </w:rPr>
        <w:t>(шостого скликання)</w:t>
      </w:r>
    </w:p>
    <w:p w:rsidR="001D6B88" w:rsidRPr="000C6AE3" w:rsidRDefault="001D6B88" w:rsidP="00124B01">
      <w:pPr>
        <w:jc w:val="center"/>
        <w:outlineLvl w:val="0"/>
        <w:rPr>
          <w:b/>
          <w:sz w:val="28"/>
          <w:szCs w:val="28"/>
        </w:rPr>
      </w:pPr>
    </w:p>
    <w:p w:rsidR="001D6B88" w:rsidRPr="008A6DA8" w:rsidRDefault="001D6B88" w:rsidP="00124B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31 жовтня 2014</w:t>
      </w:r>
      <w:r w:rsidRPr="000C6AE3">
        <w:rPr>
          <w:sz w:val="28"/>
          <w:szCs w:val="28"/>
        </w:rPr>
        <w:t xml:space="preserve"> року</w:t>
      </w:r>
      <w:r w:rsidRPr="000C6AE3">
        <w:rPr>
          <w:iCs/>
          <w:sz w:val="28"/>
          <w:szCs w:val="28"/>
        </w:rPr>
        <w:tab/>
      </w:r>
      <w:bookmarkStart w:id="0" w:name="_GoBack"/>
      <w:bookmarkEnd w:id="0"/>
      <w:r w:rsidRPr="000C6AE3">
        <w:rPr>
          <w:iCs/>
          <w:sz w:val="28"/>
          <w:szCs w:val="28"/>
        </w:rPr>
        <w:tab/>
      </w:r>
      <w:r w:rsidRPr="000C6AE3">
        <w:rPr>
          <w:iCs/>
          <w:sz w:val="28"/>
          <w:szCs w:val="28"/>
        </w:rPr>
        <w:tab/>
        <w:t xml:space="preserve">                                    № </w:t>
      </w:r>
      <w:r>
        <w:rPr>
          <w:iCs/>
          <w:sz w:val="28"/>
          <w:szCs w:val="28"/>
        </w:rPr>
        <w:t>683</w:t>
      </w:r>
    </w:p>
    <w:p w:rsidR="001D6B88" w:rsidRPr="000C6AE3" w:rsidRDefault="001D6B88" w:rsidP="00124B01">
      <w:pPr>
        <w:rPr>
          <w:b/>
          <w:sz w:val="28"/>
          <w:szCs w:val="28"/>
        </w:rPr>
      </w:pPr>
    </w:p>
    <w:p w:rsidR="001D6B88" w:rsidRPr="00A84A16" w:rsidRDefault="001D6B88" w:rsidP="00124B0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C6AE3">
        <w:rPr>
          <w:sz w:val="28"/>
          <w:szCs w:val="28"/>
        </w:rPr>
        <w:t xml:space="preserve">ро внесення </w:t>
      </w:r>
      <w:r>
        <w:rPr>
          <w:sz w:val="28"/>
          <w:szCs w:val="28"/>
        </w:rPr>
        <w:t xml:space="preserve">змін та </w:t>
      </w:r>
      <w:r w:rsidRPr="000C6AE3">
        <w:rPr>
          <w:sz w:val="28"/>
          <w:szCs w:val="28"/>
        </w:rPr>
        <w:t xml:space="preserve">доповнень до рішення Острозької </w:t>
      </w:r>
      <w:r>
        <w:rPr>
          <w:sz w:val="28"/>
          <w:szCs w:val="28"/>
        </w:rPr>
        <w:t xml:space="preserve">                              міської ради № 367 від 30.11.2012 «Про внесення доповнень до рішення Острозької міської ради № 855  від 28.09.2010</w:t>
      </w:r>
    </w:p>
    <w:p w:rsidR="001D6B88" w:rsidRPr="00A84A16" w:rsidRDefault="001D6B88" w:rsidP="00124B01">
      <w:pPr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 w:rsidRPr="000C6AE3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міської Програми </w:t>
      </w:r>
      <w:r w:rsidRPr="000C6AE3">
        <w:rPr>
          <w:sz w:val="28"/>
          <w:szCs w:val="28"/>
        </w:rPr>
        <w:t>збереження зелених насад</w:t>
      </w:r>
      <w:r>
        <w:rPr>
          <w:sz w:val="28"/>
          <w:szCs w:val="28"/>
        </w:rPr>
        <w:t>женьміста Острога до 2015 року»</w:t>
      </w:r>
    </w:p>
    <w:p w:rsidR="001D6B88" w:rsidRPr="000C6AE3" w:rsidRDefault="001D6B88" w:rsidP="00124B01">
      <w:pPr>
        <w:rPr>
          <w:sz w:val="28"/>
          <w:szCs w:val="28"/>
        </w:rPr>
      </w:pPr>
    </w:p>
    <w:p w:rsidR="001D6B88" w:rsidRPr="000C6AE3" w:rsidRDefault="001D6B88" w:rsidP="00124B01">
      <w:pPr>
        <w:jc w:val="both"/>
        <w:rPr>
          <w:rFonts w:eastAsia="Times New Roman"/>
          <w:sz w:val="28"/>
          <w:szCs w:val="28"/>
        </w:rPr>
      </w:pPr>
      <w:r w:rsidRPr="000C6AE3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>охорони</w:t>
      </w:r>
      <w:r w:rsidRPr="00FD1B37">
        <w:rPr>
          <w:sz w:val="28"/>
          <w:szCs w:val="28"/>
        </w:rPr>
        <w:t>, збереження та відтворення існуючих зелених насаджень</w:t>
      </w:r>
      <w:r>
        <w:rPr>
          <w:sz w:val="28"/>
          <w:szCs w:val="28"/>
        </w:rPr>
        <w:t>,</w:t>
      </w:r>
      <w:r w:rsidRPr="000C6AE3">
        <w:rPr>
          <w:sz w:val="28"/>
          <w:szCs w:val="28"/>
        </w:rPr>
        <w:t xml:space="preserve">забезпечення виконання регіональних програм із збереження зелених насаджень населених пунктів до 2015 року, керуючись </w:t>
      </w:r>
      <w:r w:rsidRPr="00FD1B3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D1B37">
        <w:rPr>
          <w:sz w:val="28"/>
          <w:szCs w:val="28"/>
        </w:rPr>
        <w:t xml:space="preserve"> України „Про мораторій на видалення зелених насаджень на окремих об’єктах благоустрою зеленого господарства м. Києва”, схваленого Кабінетом Міністрів України від 9 лютого 2011 року</w:t>
      </w:r>
      <w:r w:rsidRPr="000C6AE3">
        <w:rPr>
          <w:sz w:val="28"/>
          <w:szCs w:val="28"/>
        </w:rPr>
        <w:t>та  пунктом 22 частини 1 статті 26 Закону України „Про місцеве с</w:t>
      </w:r>
      <w:r>
        <w:rPr>
          <w:sz w:val="28"/>
          <w:szCs w:val="28"/>
        </w:rPr>
        <w:t>амоврядування в Україні</w:t>
      </w:r>
      <w:r w:rsidRPr="000C6AE3">
        <w:rPr>
          <w:sz w:val="28"/>
          <w:szCs w:val="28"/>
        </w:rPr>
        <w:t>”</w:t>
      </w:r>
      <w:r>
        <w:rPr>
          <w:sz w:val="28"/>
          <w:szCs w:val="28"/>
        </w:rPr>
        <w:t>, погодивши з постійними комісіями,</w:t>
      </w:r>
      <w:r w:rsidRPr="000C6AE3">
        <w:rPr>
          <w:sz w:val="28"/>
          <w:szCs w:val="28"/>
        </w:rPr>
        <w:t xml:space="preserve"> Острозька міська рада</w:t>
      </w:r>
    </w:p>
    <w:p w:rsidR="001D6B88" w:rsidRDefault="001D6B88" w:rsidP="00124B01">
      <w:pPr>
        <w:pStyle w:val="BodyTextIndent"/>
        <w:jc w:val="center"/>
        <w:rPr>
          <w:b/>
          <w:bCs/>
          <w:iCs/>
          <w:sz w:val="28"/>
          <w:szCs w:val="28"/>
        </w:rPr>
      </w:pPr>
      <w:r w:rsidRPr="000C6AE3">
        <w:rPr>
          <w:b/>
          <w:bCs/>
          <w:iCs/>
          <w:sz w:val="28"/>
          <w:szCs w:val="28"/>
        </w:rPr>
        <w:t>В И Р І Ш И Л А :</w:t>
      </w:r>
    </w:p>
    <w:p w:rsidR="001D6B88" w:rsidRPr="007B3DDA" w:rsidRDefault="001D6B88" w:rsidP="007B3DDA">
      <w:pPr>
        <w:pStyle w:val="BodyTextIndent"/>
        <w:ind w:left="0"/>
        <w:jc w:val="both"/>
        <w:rPr>
          <w:bCs/>
          <w:iCs/>
          <w:sz w:val="28"/>
          <w:szCs w:val="28"/>
        </w:rPr>
      </w:pPr>
      <w:r w:rsidRPr="007B3DDA">
        <w:rPr>
          <w:bCs/>
          <w:iCs/>
          <w:sz w:val="28"/>
          <w:szCs w:val="28"/>
        </w:rPr>
        <w:t xml:space="preserve">     1. Змінити назву додатку </w:t>
      </w:r>
      <w:r>
        <w:rPr>
          <w:bCs/>
          <w:iCs/>
          <w:sz w:val="28"/>
          <w:szCs w:val="28"/>
        </w:rPr>
        <w:t>рішення Острозької міської ради від 30.11.2012 № 367 з «Завдання і заходи на 2012-2014 рр. з виконання програми розвитку та збереження зелених насаджень в м. Острозі до 2015 року» на «Завдання і заходи на 2012-2015 роки з виконання програми розвитку та збереження зелених насаджень в м. Острозі до 2015 року»</w:t>
      </w:r>
    </w:p>
    <w:p w:rsidR="001D6B88" w:rsidRDefault="001D6B88" w:rsidP="007B3DDA">
      <w:pPr>
        <w:pStyle w:val="BodyTextIndent"/>
        <w:ind w:left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0C6A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Доповнити додаток </w:t>
      </w:r>
      <w:r w:rsidRPr="000C6AE3">
        <w:rPr>
          <w:sz w:val="28"/>
          <w:szCs w:val="28"/>
        </w:rPr>
        <w:t>ріше</w:t>
      </w:r>
      <w:r>
        <w:rPr>
          <w:sz w:val="28"/>
          <w:szCs w:val="28"/>
        </w:rPr>
        <w:t>ння Острозької міської ради №367 від 30.11.2012 «Завдання і заходи на</w:t>
      </w:r>
      <w:r>
        <w:rPr>
          <w:bCs/>
          <w:iCs/>
          <w:sz w:val="28"/>
          <w:szCs w:val="28"/>
        </w:rPr>
        <w:t xml:space="preserve">2012-2015 роки з виконання програми розвитку та збереження зелених насаджень в м. Острозі до 2015 року» пунктом 3 </w:t>
      </w:r>
    </w:p>
    <w:p w:rsidR="001D6B88" w:rsidRDefault="001D6B88" w:rsidP="007B3DDA">
      <w:pPr>
        <w:pStyle w:val="BodyTextIndent"/>
        <w:ind w:left="0"/>
        <w:jc w:val="both"/>
        <w:rPr>
          <w:bCs/>
          <w:iCs/>
          <w:sz w:val="28"/>
          <w:szCs w:val="28"/>
        </w:rPr>
      </w:pPr>
    </w:p>
    <w:tbl>
      <w:tblPr>
        <w:tblW w:w="10507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1561"/>
        <w:gridCol w:w="1308"/>
        <w:gridCol w:w="2464"/>
        <w:gridCol w:w="3156"/>
        <w:gridCol w:w="1487"/>
      </w:tblGrid>
      <w:tr w:rsidR="001D6B88" w:rsidTr="001E1647">
        <w:tc>
          <w:tcPr>
            <w:tcW w:w="531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/>
                <w:sz w:val="22"/>
                <w:szCs w:val="22"/>
              </w:rPr>
            </w:pPr>
            <w:r w:rsidRPr="00B85046">
              <w:rPr>
                <w:b/>
                <w:sz w:val="22"/>
                <w:szCs w:val="22"/>
              </w:rPr>
              <w:t xml:space="preserve">№ </w:t>
            </w:r>
          </w:p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B8504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561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B85046">
              <w:rPr>
                <w:b/>
                <w:sz w:val="22"/>
                <w:szCs w:val="22"/>
              </w:rPr>
              <w:t>Зміст заходу</w:t>
            </w:r>
          </w:p>
        </w:tc>
        <w:tc>
          <w:tcPr>
            <w:tcW w:w="1308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B85046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2464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B85046">
              <w:rPr>
                <w:b/>
                <w:sz w:val="22"/>
                <w:szCs w:val="22"/>
                <w:lang w:val="ru-RU"/>
              </w:rPr>
              <w:t>Джерелафінансування</w:t>
            </w:r>
          </w:p>
        </w:tc>
        <w:tc>
          <w:tcPr>
            <w:tcW w:w="3156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B85046">
              <w:rPr>
                <w:b/>
                <w:sz w:val="22"/>
                <w:szCs w:val="22"/>
                <w:lang w:val="ru-RU"/>
              </w:rPr>
              <w:t>Прогнозова-нийобсягфінансовихресурсів, тис.грн</w:t>
            </w:r>
          </w:p>
        </w:tc>
        <w:tc>
          <w:tcPr>
            <w:tcW w:w="1487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B85046">
              <w:rPr>
                <w:b/>
                <w:sz w:val="22"/>
                <w:szCs w:val="22"/>
              </w:rPr>
              <w:t>Відповідаль-ніза виконання</w:t>
            </w:r>
          </w:p>
        </w:tc>
      </w:tr>
      <w:tr w:rsidR="001D6B88" w:rsidTr="001E1647">
        <w:tc>
          <w:tcPr>
            <w:tcW w:w="531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2"/>
                <w:szCs w:val="22"/>
              </w:rPr>
            </w:pPr>
            <w:r w:rsidRPr="00B85046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8"/>
                <w:szCs w:val="28"/>
              </w:rPr>
            </w:pPr>
            <w:r w:rsidRPr="00B85046">
              <w:rPr>
                <w:sz w:val="22"/>
                <w:szCs w:val="22"/>
              </w:rPr>
              <w:t>Проведення робіт з технічної інвентаризації зелених насаджень та паспортизації об’єктів зеленого господарства міста (парки, сквери)</w:t>
            </w:r>
          </w:p>
        </w:tc>
        <w:tc>
          <w:tcPr>
            <w:tcW w:w="1308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2"/>
                <w:szCs w:val="22"/>
              </w:rPr>
            </w:pPr>
            <w:r w:rsidRPr="00B85046">
              <w:rPr>
                <w:bCs/>
                <w:iCs/>
                <w:sz w:val="22"/>
                <w:szCs w:val="22"/>
              </w:rPr>
              <w:t>2015</w:t>
            </w:r>
          </w:p>
        </w:tc>
        <w:tc>
          <w:tcPr>
            <w:tcW w:w="2464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2"/>
                <w:szCs w:val="22"/>
              </w:rPr>
            </w:pPr>
            <w:r w:rsidRPr="00B85046">
              <w:rPr>
                <w:bCs/>
                <w:iCs/>
                <w:sz w:val="22"/>
                <w:szCs w:val="22"/>
              </w:rPr>
              <w:t>Міський бюджет</w:t>
            </w:r>
          </w:p>
        </w:tc>
        <w:tc>
          <w:tcPr>
            <w:tcW w:w="3156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2"/>
                <w:szCs w:val="22"/>
              </w:rPr>
            </w:pPr>
            <w:r w:rsidRPr="00B85046">
              <w:rPr>
                <w:bCs/>
                <w:iCs/>
                <w:sz w:val="22"/>
                <w:szCs w:val="22"/>
              </w:rPr>
              <w:t>12,5</w:t>
            </w:r>
          </w:p>
        </w:tc>
        <w:tc>
          <w:tcPr>
            <w:tcW w:w="1487" w:type="dxa"/>
          </w:tcPr>
          <w:p w:rsidR="001D6B88" w:rsidRPr="00B85046" w:rsidRDefault="001D6B88" w:rsidP="00B85046">
            <w:pPr>
              <w:pStyle w:val="BodyTextIndent"/>
              <w:ind w:left="0"/>
              <w:jc w:val="both"/>
              <w:rPr>
                <w:bCs/>
                <w:iCs/>
                <w:sz w:val="22"/>
                <w:szCs w:val="22"/>
              </w:rPr>
            </w:pPr>
            <w:r w:rsidRPr="00B85046">
              <w:rPr>
                <w:sz w:val="22"/>
                <w:szCs w:val="22"/>
              </w:rPr>
              <w:t>міська інспекція з благоустрою, ОКП «Водоканал»</w:t>
            </w:r>
          </w:p>
        </w:tc>
      </w:tr>
    </w:tbl>
    <w:p w:rsidR="001D6B88" w:rsidRPr="007B3DDA" w:rsidRDefault="001D6B88" w:rsidP="007B3DDA">
      <w:pPr>
        <w:pStyle w:val="BodyTextIndent"/>
        <w:ind w:left="0"/>
        <w:jc w:val="both"/>
        <w:rPr>
          <w:bCs/>
          <w:iCs/>
          <w:sz w:val="28"/>
          <w:szCs w:val="28"/>
        </w:rPr>
      </w:pPr>
    </w:p>
    <w:p w:rsidR="001D6B88" w:rsidRPr="000C6AE3" w:rsidRDefault="001D6B88" w:rsidP="00124B01">
      <w:pPr>
        <w:pStyle w:val="BodyTextIndent"/>
        <w:ind w:left="0" w:firstLine="283"/>
        <w:jc w:val="both"/>
        <w:rPr>
          <w:b/>
          <w:bCs/>
          <w:i/>
          <w:iCs/>
          <w:sz w:val="28"/>
          <w:szCs w:val="28"/>
        </w:rPr>
      </w:pPr>
    </w:p>
    <w:p w:rsidR="001D6B88" w:rsidRDefault="001D6B88" w:rsidP="00D06F6F">
      <w:pPr>
        <w:ind w:right="440"/>
        <w:jc w:val="center"/>
      </w:pPr>
      <w:r>
        <w:t>2</w:t>
      </w:r>
    </w:p>
    <w:p w:rsidR="001D6B88" w:rsidRDefault="001D6B88" w:rsidP="00124B01">
      <w:pPr>
        <w:pStyle w:val="BodyTextIndent"/>
        <w:ind w:left="0"/>
        <w:jc w:val="both"/>
        <w:rPr>
          <w:sz w:val="28"/>
          <w:szCs w:val="28"/>
        </w:rPr>
      </w:pPr>
    </w:p>
    <w:p w:rsidR="001D6B88" w:rsidRPr="000C6AE3" w:rsidRDefault="001D6B88" w:rsidP="00124B01">
      <w:pPr>
        <w:pStyle w:val="BodyTextIndent"/>
        <w:ind w:left="0"/>
        <w:jc w:val="both"/>
        <w:rPr>
          <w:sz w:val="28"/>
          <w:szCs w:val="28"/>
        </w:rPr>
      </w:pPr>
      <w:r w:rsidRPr="000C6AE3">
        <w:rPr>
          <w:sz w:val="28"/>
          <w:szCs w:val="28"/>
        </w:rPr>
        <w:t>2. Фінансовому управлінню (Мацун Т.Д.) при формуванні міського бюджету передбачити кошти на фінансування Програми в межах наявних фінансових ресурсів.</w:t>
      </w:r>
    </w:p>
    <w:p w:rsidR="001D6B88" w:rsidRPr="000C6AE3" w:rsidRDefault="001D6B88" w:rsidP="00124B01">
      <w:pPr>
        <w:pStyle w:val="BodyTextIndent"/>
        <w:ind w:left="0"/>
        <w:jc w:val="both"/>
        <w:rPr>
          <w:sz w:val="28"/>
          <w:szCs w:val="28"/>
        </w:rPr>
      </w:pPr>
      <w:r w:rsidRPr="000C6AE3">
        <w:rPr>
          <w:sz w:val="28"/>
          <w:szCs w:val="28"/>
        </w:rPr>
        <w:t xml:space="preserve">     3. Виконавцям інформувати про хід виконання Програми начальника міської інспекції з благоустрою (Журик М.Є) до 25 грудня щорічно.</w:t>
      </w:r>
    </w:p>
    <w:p w:rsidR="001D6B88" w:rsidRPr="000C6AE3" w:rsidRDefault="001D6B88" w:rsidP="00124B01">
      <w:pPr>
        <w:pStyle w:val="BodyTextIndent"/>
        <w:ind w:left="0"/>
        <w:jc w:val="both"/>
        <w:rPr>
          <w:sz w:val="28"/>
          <w:szCs w:val="28"/>
        </w:rPr>
      </w:pPr>
      <w:r w:rsidRPr="000C6AE3">
        <w:rPr>
          <w:sz w:val="28"/>
          <w:szCs w:val="28"/>
        </w:rPr>
        <w:t xml:space="preserve">     4. Контроль за виконанням даного рішення   доручити постійнім комісіям з питань житлово-комунального господарства, транспорту, зв’язку, торгівлі, побуту та навколишнього природного середовища, бюджету, фінансів, податкової та регуляторної політики та секретарю Острозької міської ради Добровольському М. В., а організацію його виконання  - засту</w:t>
      </w:r>
      <w:r>
        <w:rPr>
          <w:sz w:val="28"/>
          <w:szCs w:val="28"/>
        </w:rPr>
        <w:t xml:space="preserve">пнику міського голови згідно розподілу функціональних обов’язків </w:t>
      </w:r>
      <w:r w:rsidRPr="000C6AE3">
        <w:rPr>
          <w:sz w:val="28"/>
          <w:szCs w:val="28"/>
        </w:rPr>
        <w:t xml:space="preserve">. та начальнику міської інспекції з благоустрою Журик М.Є. </w:t>
      </w:r>
    </w:p>
    <w:p w:rsidR="001D6B88" w:rsidRPr="00124B01" w:rsidRDefault="001D6B88" w:rsidP="007229ED">
      <w:pPr>
        <w:jc w:val="both"/>
        <w:rPr>
          <w:rFonts w:eastAsia="Times New Roman"/>
          <w:color w:val="000000"/>
          <w:sz w:val="28"/>
          <w:szCs w:val="28"/>
        </w:rPr>
      </w:pPr>
    </w:p>
    <w:p w:rsidR="001D6B88" w:rsidRPr="000C6AE3" w:rsidRDefault="001D6B88" w:rsidP="00124B01">
      <w:pPr>
        <w:pStyle w:val="BodyTextIndent"/>
        <w:rPr>
          <w:sz w:val="28"/>
          <w:szCs w:val="28"/>
        </w:rPr>
      </w:pPr>
    </w:p>
    <w:p w:rsidR="001D6B88" w:rsidRDefault="001D6B88" w:rsidP="00124B01">
      <w:pPr>
        <w:pStyle w:val="BodyTextIndent"/>
        <w:rPr>
          <w:sz w:val="28"/>
          <w:szCs w:val="28"/>
        </w:rPr>
      </w:pPr>
    </w:p>
    <w:p w:rsidR="001D6B88" w:rsidRDefault="001D6B88" w:rsidP="00124B01">
      <w:pPr>
        <w:pStyle w:val="BodyTextIndent"/>
        <w:rPr>
          <w:sz w:val="28"/>
          <w:szCs w:val="28"/>
        </w:rPr>
      </w:pPr>
    </w:p>
    <w:p w:rsidR="001D6B88" w:rsidRPr="000C6AE3" w:rsidRDefault="001D6B88" w:rsidP="00124B01">
      <w:pPr>
        <w:pStyle w:val="BodyTextIndent"/>
        <w:rPr>
          <w:sz w:val="28"/>
          <w:szCs w:val="28"/>
        </w:rPr>
      </w:pPr>
    </w:p>
    <w:p w:rsidR="001D6B88" w:rsidRPr="00124B01" w:rsidRDefault="001D6B88" w:rsidP="00124B01">
      <w:pPr>
        <w:pStyle w:val="BodyTextIndent"/>
        <w:rPr>
          <w:sz w:val="28"/>
          <w:szCs w:val="28"/>
          <w:lang w:val="ru-RU"/>
        </w:rPr>
      </w:pPr>
      <w:r w:rsidRPr="000C6AE3">
        <w:rPr>
          <w:sz w:val="28"/>
          <w:szCs w:val="28"/>
        </w:rPr>
        <w:t>Міський голова                                                                       О. Шикер</w:t>
      </w:r>
    </w:p>
    <w:p w:rsidR="001D6B88" w:rsidRPr="00124B01" w:rsidRDefault="001D6B88" w:rsidP="00124B01">
      <w:pPr>
        <w:pStyle w:val="BodyTextIndent"/>
        <w:rPr>
          <w:sz w:val="28"/>
          <w:szCs w:val="28"/>
          <w:lang w:val="ru-RU"/>
        </w:rPr>
      </w:pPr>
    </w:p>
    <w:p w:rsidR="001D6B88" w:rsidRDefault="001D6B88" w:rsidP="00124B01">
      <w:pPr>
        <w:ind w:right="440"/>
      </w:pPr>
    </w:p>
    <w:sectPr w:rsidR="001D6B88" w:rsidSect="005D05CA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E2EB6"/>
    <w:multiLevelType w:val="hybridMultilevel"/>
    <w:tmpl w:val="AA6EC408"/>
    <w:lvl w:ilvl="0" w:tplc="FF2CC172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291"/>
    <w:rsid w:val="000A0291"/>
    <w:rsid w:val="000C6AE3"/>
    <w:rsid w:val="00124B01"/>
    <w:rsid w:val="001D6B88"/>
    <w:rsid w:val="001E1647"/>
    <w:rsid w:val="003C0482"/>
    <w:rsid w:val="005D05CA"/>
    <w:rsid w:val="00611DB6"/>
    <w:rsid w:val="006F7382"/>
    <w:rsid w:val="007229ED"/>
    <w:rsid w:val="007B3DDA"/>
    <w:rsid w:val="008A6DA8"/>
    <w:rsid w:val="008D115A"/>
    <w:rsid w:val="00A470D5"/>
    <w:rsid w:val="00A84A16"/>
    <w:rsid w:val="00B85046"/>
    <w:rsid w:val="00C9643D"/>
    <w:rsid w:val="00D06F6F"/>
    <w:rsid w:val="00D324E2"/>
    <w:rsid w:val="00FD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01"/>
    <w:rPr>
      <w:rFonts w:ascii="Times New Roman" w:eastAsia="MS Mincho" w:hAnsi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24B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24B01"/>
    <w:rPr>
      <w:rFonts w:ascii="Times New Roman" w:eastAsia="MS Mincho" w:hAnsi="Times New Roman" w:cs="Times New Roman"/>
      <w:sz w:val="24"/>
      <w:szCs w:val="24"/>
      <w:lang w:val="uk-UA" w:eastAsia="ru-RU"/>
    </w:rPr>
  </w:style>
  <w:style w:type="table" w:styleId="TableGrid">
    <w:name w:val="Table Grid"/>
    <w:basedOn w:val="TableNormal"/>
    <w:uiPriority w:val="99"/>
    <w:rsid w:val="007B3D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424</Words>
  <Characters>2417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2014-10-07T13:25:00Z</cp:lastPrinted>
  <dcterms:created xsi:type="dcterms:W3CDTF">2014-10-03T08:38:00Z</dcterms:created>
  <dcterms:modified xsi:type="dcterms:W3CDTF">2014-11-21T07:09:00Z</dcterms:modified>
</cp:coreProperties>
</file>