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D9" w:rsidRDefault="004C38D9" w:rsidP="004C38D9">
      <w:pPr>
        <w:pStyle w:val="Standard"/>
        <w:jc w:val="right"/>
        <w:rPr>
          <w:sz w:val="28"/>
          <w:szCs w:val="28"/>
          <w:lang w:val="uk-UA"/>
        </w:rPr>
      </w:pPr>
    </w:p>
    <w:p w:rsidR="004C38D9" w:rsidRPr="00A66387" w:rsidRDefault="004C38D9" w:rsidP="004C38D9">
      <w:pPr>
        <w:pStyle w:val="Standard"/>
        <w:ind w:left="426"/>
        <w:rPr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object w:dxaOrig="2283" w:dyaOrig="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'єкт2" o:spid="_x0000_i1025" type="#_x0000_t75" alt="об'єкт OLE" style="width:114pt;height:42pt;visibility:visible;mso-wrap-style:square" o:ole="">
            <v:imagedata r:id="rId5" o:title="об'єкт OLE"/>
          </v:shape>
          <o:OLEObject Type="Embed" ProgID="PBrush" ShapeID="Об'єкт2" DrawAspect="Content" ObjectID="_1526299823" r:id="rId6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C38D9" w:rsidRPr="00A66387" w:rsidRDefault="004C38D9" w:rsidP="004C38D9">
      <w:pPr>
        <w:pStyle w:val="Standard"/>
        <w:jc w:val="center"/>
        <w:rPr>
          <w:b/>
          <w:sz w:val="28"/>
          <w:szCs w:val="28"/>
          <w:lang w:val="ru-RU"/>
        </w:rPr>
      </w:pPr>
      <w:r w:rsidRPr="00A66387">
        <w:rPr>
          <w:b/>
          <w:sz w:val="28"/>
          <w:szCs w:val="28"/>
          <w:lang w:val="ru-RU"/>
        </w:rPr>
        <w:t>УКРАЇНА</w:t>
      </w:r>
    </w:p>
    <w:p w:rsidR="004C38D9" w:rsidRPr="00A66387" w:rsidRDefault="004C38D9" w:rsidP="004C38D9">
      <w:pPr>
        <w:pStyle w:val="Standard"/>
        <w:jc w:val="center"/>
        <w:rPr>
          <w:b/>
          <w:sz w:val="28"/>
          <w:szCs w:val="28"/>
          <w:lang w:val="ru-RU"/>
        </w:rPr>
      </w:pPr>
      <w:r w:rsidRPr="00A66387">
        <w:rPr>
          <w:b/>
          <w:sz w:val="28"/>
          <w:szCs w:val="28"/>
          <w:lang w:val="ru-RU"/>
        </w:rPr>
        <w:t>ОСТРОЗЬКА МІСЬКА РАДА</w:t>
      </w:r>
    </w:p>
    <w:p w:rsidR="004C38D9" w:rsidRPr="00A66387" w:rsidRDefault="004C38D9" w:rsidP="004C38D9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A66387">
        <w:rPr>
          <w:b/>
          <w:sz w:val="28"/>
          <w:szCs w:val="28"/>
          <w:lang w:val="ru-RU"/>
        </w:rPr>
        <w:t>Р</w:t>
      </w:r>
      <w:proofErr w:type="gramEnd"/>
      <w:r w:rsidRPr="00A66387">
        <w:rPr>
          <w:b/>
          <w:sz w:val="28"/>
          <w:szCs w:val="28"/>
          <w:lang w:val="ru-RU"/>
        </w:rPr>
        <w:t>ІВНЕНСЬКОЇ ОБЛАСТІ</w:t>
      </w:r>
    </w:p>
    <w:p w:rsidR="004C38D9" w:rsidRDefault="004C38D9" w:rsidP="004C38D9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:rsidR="004C38D9" w:rsidRPr="00A66387" w:rsidRDefault="004C38D9" w:rsidP="004C38D9">
      <w:pPr>
        <w:pStyle w:val="Standard"/>
        <w:tabs>
          <w:tab w:val="left" w:pos="570"/>
          <w:tab w:val="center" w:pos="5386"/>
        </w:tabs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4C38D9" w:rsidRDefault="004C38D9" w:rsidP="004C38D9">
      <w:pPr>
        <w:pStyle w:val="Standard"/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:rsidR="004C38D9" w:rsidRPr="00A66387" w:rsidRDefault="004C38D9" w:rsidP="004C38D9">
      <w:pPr>
        <w:pStyle w:val="Standard"/>
        <w:tabs>
          <w:tab w:val="left" w:pos="570"/>
          <w:tab w:val="center" w:pos="5386"/>
        </w:tabs>
        <w:rPr>
          <w:lang w:val="ru-RU"/>
        </w:rPr>
      </w:pPr>
      <w:r>
        <w:rPr>
          <w:bCs/>
          <w:sz w:val="28"/>
          <w:szCs w:val="28"/>
          <w:lang w:val="uk-UA"/>
        </w:rPr>
        <w:t xml:space="preserve">27 травня 2016 року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</w:t>
      </w:r>
      <w:r>
        <w:rPr>
          <w:bCs/>
          <w:sz w:val="28"/>
          <w:szCs w:val="28"/>
          <w:lang w:val="uk-UA"/>
        </w:rPr>
        <w:t xml:space="preserve">   №</w:t>
      </w:r>
      <w:r>
        <w:rPr>
          <w:bCs/>
          <w:sz w:val="28"/>
          <w:szCs w:val="28"/>
          <w:lang w:val="uk-UA"/>
        </w:rPr>
        <w:t xml:space="preserve"> 153</w:t>
      </w:r>
    </w:p>
    <w:p w:rsidR="004C38D9" w:rsidRDefault="004C38D9" w:rsidP="004C38D9">
      <w:pPr>
        <w:pStyle w:val="Standard"/>
        <w:rPr>
          <w:bCs/>
          <w:sz w:val="28"/>
          <w:szCs w:val="28"/>
          <w:u w:val="single"/>
          <w:lang w:val="uk-UA"/>
        </w:rPr>
      </w:pPr>
    </w:p>
    <w:p w:rsidR="004C38D9" w:rsidRPr="00A66387" w:rsidRDefault="004C38D9" w:rsidP="004C38D9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>Про затвердження  структури</w:t>
      </w:r>
    </w:p>
    <w:p w:rsidR="004C38D9" w:rsidRPr="00A66387" w:rsidRDefault="004C38D9" w:rsidP="004C38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та загальної чисельності апарату</w:t>
      </w: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Острозької</w:t>
      </w: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та її виконавчих органів</w:t>
      </w: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п.5 ст.26 Закону України «Про місцеве самоврядування в Україні»,  погодивши з постійними депутатськими комісіями, Острозька міська рада</w:t>
      </w: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</w:p>
    <w:p w:rsidR="004C38D9" w:rsidRPr="00A66387" w:rsidRDefault="004C38D9" w:rsidP="004C38D9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      1. Затвердити структуру та загальну чисельність  апарату виконавчого комітету Острозької міської ради та її виконавчих органів в складі 87 штатних одиниць.</w:t>
      </w:r>
    </w:p>
    <w:p w:rsidR="004C38D9" w:rsidRPr="00A66387" w:rsidRDefault="004C38D9" w:rsidP="004C38D9">
      <w:pPr>
        <w:pStyle w:val="Standard"/>
        <w:ind w:left="57" w:hanging="79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Визнати таким,  що втратило чинність рішення міської ради від 29 січня 2016 року №77 “Про затвердження структури та загальної чисельності Острозької міської ради та її виконавчого комітету”,</w:t>
      </w:r>
    </w:p>
    <w:p w:rsidR="004C38D9" w:rsidRPr="00A66387" w:rsidRDefault="004C38D9" w:rsidP="004C38D9">
      <w:pPr>
        <w:pStyle w:val="Standard"/>
        <w:ind w:hanging="34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3. 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 (голова – Миронюк В.М.), з питань бюджету, фінансів, податкової та регуляторної політики (голова – Іщуку С.І.), секретарю міської ради Ткачуку І.І., а організацію його виконання – керуючому справами виконкому Сніщуку Л.А.</w:t>
      </w:r>
    </w:p>
    <w:p w:rsidR="004C38D9" w:rsidRPr="00A66387" w:rsidRDefault="004C38D9" w:rsidP="004C38D9">
      <w:pPr>
        <w:pStyle w:val="Standard"/>
        <w:jc w:val="both"/>
        <w:rPr>
          <w:lang w:val="uk-UA"/>
        </w:rPr>
      </w:pPr>
    </w:p>
    <w:p w:rsidR="004C38D9" w:rsidRPr="00A66387" w:rsidRDefault="004C38D9" w:rsidP="004C38D9">
      <w:pPr>
        <w:pStyle w:val="Standard"/>
        <w:jc w:val="both"/>
        <w:rPr>
          <w:lang w:val="uk-UA"/>
        </w:rPr>
      </w:pPr>
    </w:p>
    <w:p w:rsidR="004C38D9" w:rsidRPr="00A66387" w:rsidRDefault="004C38D9" w:rsidP="004C38D9">
      <w:pPr>
        <w:pStyle w:val="Standard"/>
        <w:jc w:val="both"/>
        <w:rPr>
          <w:lang w:val="uk-UA"/>
        </w:rPr>
      </w:pPr>
    </w:p>
    <w:p w:rsidR="004C38D9" w:rsidRPr="00A66387" w:rsidRDefault="004C38D9" w:rsidP="004C38D9">
      <w:pPr>
        <w:pStyle w:val="Standard"/>
        <w:jc w:val="both"/>
        <w:rPr>
          <w:lang w:val="uk-UA"/>
        </w:rPr>
      </w:pPr>
    </w:p>
    <w:p w:rsidR="004C38D9" w:rsidRDefault="004C38D9" w:rsidP="004C38D9">
      <w:pPr>
        <w:pStyle w:val="Standard"/>
        <w:jc w:val="both"/>
        <w:rPr>
          <w:sz w:val="28"/>
          <w:szCs w:val="28"/>
          <w:lang w:val="uk-UA"/>
        </w:rPr>
      </w:pPr>
    </w:p>
    <w:p w:rsidR="004C38D9" w:rsidRDefault="004C38D9" w:rsidP="004C38D9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О.Шикер</w:t>
      </w:r>
    </w:p>
    <w:p w:rsidR="004C38D9" w:rsidRPr="00A66387" w:rsidRDefault="004C38D9" w:rsidP="004C38D9">
      <w:pPr>
        <w:pStyle w:val="Standard"/>
        <w:tabs>
          <w:tab w:val="left" w:pos="5865"/>
        </w:tabs>
        <w:jc w:val="both"/>
        <w:rPr>
          <w:sz w:val="28"/>
          <w:szCs w:val="28"/>
          <w:lang w:val="ru-RU"/>
        </w:rPr>
      </w:pPr>
    </w:p>
    <w:p w:rsidR="004C38D9" w:rsidRDefault="004C38D9" w:rsidP="004C38D9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rPr>
          <w:b/>
          <w:sz w:val="28"/>
          <w:szCs w:val="28"/>
          <w:lang w:val="uk-UA"/>
        </w:rPr>
      </w:pPr>
    </w:p>
    <w:p w:rsidR="004C38D9" w:rsidRPr="00A66387" w:rsidRDefault="004C38D9" w:rsidP="004C38D9">
      <w:pPr>
        <w:pStyle w:val="Standard"/>
        <w:tabs>
          <w:tab w:val="left" w:pos="5865"/>
        </w:tabs>
        <w:jc w:val="both"/>
        <w:rPr>
          <w:b/>
          <w:sz w:val="28"/>
          <w:szCs w:val="28"/>
          <w:lang w:val="ru-RU"/>
        </w:rPr>
      </w:pPr>
    </w:p>
    <w:p w:rsidR="004C38D9" w:rsidRDefault="004C38D9" w:rsidP="004C38D9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</w:t>
      </w:r>
    </w:p>
    <w:p w:rsidR="004C38D9" w:rsidRPr="004C38D9" w:rsidRDefault="004C38D9" w:rsidP="004C38D9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jc w:val="center"/>
        <w:rPr>
          <w:lang w:val="ru-RU"/>
        </w:rPr>
      </w:pPr>
      <w:r>
        <w:rPr>
          <w:b/>
          <w:lang w:val="uk-UA"/>
        </w:rPr>
        <w:lastRenderedPageBreak/>
        <w:t xml:space="preserve">                                                       </w:t>
      </w:r>
      <w:r w:rsidRPr="004C38D9">
        <w:rPr>
          <w:sz w:val="28"/>
          <w:szCs w:val="28"/>
          <w:lang w:val="uk-UA"/>
        </w:rPr>
        <w:t>Додаток</w:t>
      </w:r>
    </w:p>
    <w:p w:rsidR="004C38D9" w:rsidRPr="00A66387" w:rsidRDefault="004C38D9" w:rsidP="004C38D9">
      <w:pPr>
        <w:pStyle w:val="Standard"/>
        <w:tabs>
          <w:tab w:val="left" w:pos="6000"/>
          <w:tab w:val="left" w:pos="6600"/>
          <w:tab w:val="left" w:pos="6750"/>
          <w:tab w:val="right" w:pos="9355"/>
        </w:tabs>
        <w:jc w:val="both"/>
        <w:rPr>
          <w:lang w:val="ru-RU"/>
        </w:rPr>
      </w:pPr>
      <w:r>
        <w:rPr>
          <w:sz w:val="28"/>
          <w:szCs w:val="28"/>
          <w:lang w:val="uk-UA"/>
        </w:rPr>
        <w:tab/>
      </w:r>
      <w:r w:rsidRPr="00A663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до рішення</w:t>
      </w:r>
      <w:r w:rsidRPr="00A6638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Острозької</w:t>
      </w:r>
    </w:p>
    <w:p w:rsidR="004C38D9" w:rsidRPr="00A66387" w:rsidRDefault="004C38D9" w:rsidP="004C38D9">
      <w:pPr>
        <w:pStyle w:val="Standard"/>
        <w:tabs>
          <w:tab w:val="left" w:pos="6000"/>
          <w:tab w:val="left" w:pos="6600"/>
          <w:tab w:val="left" w:pos="6750"/>
          <w:tab w:val="right" w:pos="9355"/>
        </w:tabs>
        <w:rPr>
          <w:lang w:val="ru-RU"/>
        </w:rPr>
      </w:pPr>
      <w:r w:rsidRPr="00A66387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міської ради</w:t>
      </w:r>
    </w:p>
    <w:p w:rsidR="004C38D9" w:rsidRPr="00A66387" w:rsidRDefault="004C38D9" w:rsidP="004C38D9">
      <w:pPr>
        <w:pStyle w:val="Standard"/>
        <w:tabs>
          <w:tab w:val="left" w:pos="6030"/>
          <w:tab w:val="right" w:pos="9355"/>
        </w:tabs>
        <w:rPr>
          <w:lang w:val="ru-RU"/>
        </w:rPr>
      </w:pPr>
      <w:r>
        <w:rPr>
          <w:sz w:val="28"/>
          <w:szCs w:val="28"/>
          <w:lang w:val="uk-UA"/>
        </w:rPr>
        <w:tab/>
        <w:t>від  27 травня 2016 року</w:t>
      </w:r>
    </w:p>
    <w:p w:rsidR="004C38D9" w:rsidRDefault="004C38D9" w:rsidP="004C38D9">
      <w:pPr>
        <w:pStyle w:val="Standard"/>
        <w:tabs>
          <w:tab w:val="left" w:pos="6060"/>
          <w:tab w:val="left" w:pos="6615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№ 153</w:t>
      </w:r>
      <w:bookmarkStart w:id="0" w:name="_GoBack"/>
      <w:bookmarkEnd w:id="0"/>
    </w:p>
    <w:p w:rsidR="004C38D9" w:rsidRDefault="004C38D9" w:rsidP="004C38D9">
      <w:pPr>
        <w:pStyle w:val="Standard"/>
        <w:jc w:val="center"/>
        <w:rPr>
          <w:sz w:val="28"/>
          <w:szCs w:val="28"/>
          <w:lang w:val="uk-UA"/>
        </w:rPr>
      </w:pPr>
    </w:p>
    <w:p w:rsidR="004C38D9" w:rsidRPr="00A66387" w:rsidRDefault="004C38D9" w:rsidP="004C38D9">
      <w:pPr>
        <w:pStyle w:val="Standard"/>
        <w:jc w:val="right"/>
        <w:rPr>
          <w:sz w:val="28"/>
          <w:szCs w:val="28"/>
          <w:lang w:val="ru-RU"/>
        </w:rPr>
      </w:pPr>
      <w:r w:rsidRPr="00A66387">
        <w:rPr>
          <w:sz w:val="28"/>
          <w:szCs w:val="28"/>
          <w:lang w:val="ru-RU"/>
        </w:rPr>
        <w:t xml:space="preserve"> </w:t>
      </w:r>
    </w:p>
    <w:p w:rsidR="004C38D9" w:rsidRDefault="004C38D9" w:rsidP="004C38D9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p w:rsidR="004C38D9" w:rsidRDefault="004C38D9" w:rsidP="004C38D9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загальна чисельність апарату виконавчого комітету Острозької міської ради та її виконавчих органів</w:t>
      </w:r>
    </w:p>
    <w:p w:rsidR="004C38D9" w:rsidRDefault="004C38D9" w:rsidP="004C38D9">
      <w:pPr>
        <w:pStyle w:val="Standard"/>
        <w:jc w:val="center"/>
        <w:rPr>
          <w:b/>
          <w:sz w:val="28"/>
          <w:szCs w:val="28"/>
          <w:lang w:val="uk-UA"/>
        </w:rPr>
      </w:pPr>
    </w:p>
    <w:tbl>
      <w:tblPr>
        <w:tblW w:w="9878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212"/>
        <w:gridCol w:w="2386"/>
        <w:gridCol w:w="1429"/>
      </w:tblGrid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№з/п    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відділів, управлінь, структурних підрозділів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посад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АПАРАТ</w:t>
            </w:r>
          </w:p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. Керівництво</w:t>
            </w:r>
          </w:p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міського голови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Всього:   6</w:t>
            </w:r>
          </w:p>
          <w:p w:rsidR="004C38D9" w:rsidRDefault="004C38D9" w:rsidP="00E103F4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2. Відділ кадрової та режимно-секретної роботи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Всього:   1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3. Відділ з питань внутрішньої політики та інформації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  <w:r>
              <w:t>8.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Всього:   2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4. Відділ бухгалтерського обліку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Всього: 3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5. Організаційний відділ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Всього: 4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6. Загальний відділ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контролю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i/>
                <w:iCs/>
                <w:sz w:val="21"/>
                <w:szCs w:val="21"/>
                <w:lang w:val="uk-UA"/>
              </w:rPr>
              <w:t>(архівіст)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Всього:5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7. Відділ з юридичної роботи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Всього:2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8. Обслуговуючий персонал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Всього:3</w:t>
            </w:r>
          </w:p>
          <w:p w:rsidR="004C38D9" w:rsidRDefault="004C38D9" w:rsidP="00E103F4">
            <w:pPr>
              <w:pStyle w:val="Standard"/>
              <w:jc w:val="center"/>
            </w:pPr>
          </w:p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  <w:lang w:val="uk-UA"/>
              </w:rPr>
              <w:t>РАЗОМ: 26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ВИКОНАВЧІ ОРГАНИ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9.Центр надання адміністративних послуг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Всього:4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10. Управління містобудування, архітектури,  житлово-комунального господарства, благоустрою та землекористування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10.1. Відділ з питань  містобудування,  архітектури та містобудівного кадастру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both"/>
              <w:rPr>
                <w:lang w:val="uk-UA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Начальник відділу містобудування та архітектури — заступник начальника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  <w:r>
              <w:t xml:space="preserve"> 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10.2. Відділ з питань житлово-комунального господарства</w:t>
            </w:r>
          </w:p>
          <w:p w:rsidR="004C38D9" w:rsidRDefault="004C38D9" w:rsidP="00E103F4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                                                        1       </w:t>
            </w: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A66387">
              <w:rPr>
                <w:i/>
                <w:iCs/>
                <w:sz w:val="28"/>
                <w:szCs w:val="28"/>
                <w:lang w:val="ru-RU"/>
              </w:rPr>
              <w:t xml:space="preserve">10.3. </w:t>
            </w:r>
            <w:r>
              <w:rPr>
                <w:i/>
                <w:iCs/>
                <w:sz w:val="28"/>
                <w:szCs w:val="28"/>
                <w:lang w:val="uk-UA"/>
              </w:rPr>
              <w:t>Відділ з питань землекористування</w:t>
            </w:r>
          </w:p>
          <w:p w:rsidR="004C38D9" w:rsidRDefault="004C38D9" w:rsidP="00E103F4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                                                         1</w:t>
            </w:r>
          </w:p>
          <w:p w:rsidR="004C38D9" w:rsidRDefault="004C38D9" w:rsidP="00E103F4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10.4. Інспекція з благоустрою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інспекції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10.5. Відділ з питань державного архітектурно-будівельного контролю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Всього:   8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11.Відділ ведення державного реєстру виборців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both"/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12. Відділ реєстрації</w:t>
            </w:r>
          </w:p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- державний реєстратор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B007A7" wp14:editId="4C224DAF">
                      <wp:simplePos x="0" y="0"/>
                      <wp:positionH relativeFrom="column">
                        <wp:posOffset>-5391720</wp:posOffset>
                      </wp:positionH>
                      <wp:positionV relativeFrom="paragraph">
                        <wp:posOffset>208800</wp:posOffset>
                      </wp:positionV>
                      <wp:extent cx="6305399" cy="9360"/>
                      <wp:effectExtent l="0" t="0" r="19201" b="287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399" cy="93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C38D9" w:rsidRDefault="004C38D9" w:rsidP="004C38D9"/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4.55pt,16.45pt" to="71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yA1QEAAF8DAAAOAAAAZHJzL2Uyb0RvYy54bWysU01uEzEU3iP1Dpb3zUwSEcgoky4atRsE&#10;kaAHcDyejCX/yXYzkx2wRsoRuAILkCoVOIPnRjw705TCDjELz/N7nz/7+569uOikQDtmHdeqxONR&#10;jhFTVFdcbUt88+7q/CVGzhNVEaEVK/GeOXyxPHu2aE3BJrrRomIWAYlyRWtK3HhviixztGGSuJE2&#10;TEGx1lYSD1O7zSpLWmCXIpvk+Sxrta2M1ZQ5B9nVsYiXib+uGfVv6toxj0SJ4Ww+jTaNmzhmywUp&#10;tpaYhtPhGOQfTiEJV7DpiWpFPEG3lv9FJTm12unaj6iWma5rTlnSAGrG+R9q3jbEsKQFzHHmZJP7&#10;f7T09W5tEa+gdxgpIqFF4XP/vj+E7+FLf0D9h/AzfAtfw134Ee76jxDf958gjsVwP6QPaBydbI0r&#10;gPBSre0wc2Ztoy1dbWX8g2DUJff3J/dZ5xGF5GyaP5/O5xhRqM2ns9Sc7HGtsc5fMy1RDEosuIre&#10;kILsXjkP+wH0ARLTSl9xIVJ/hUItCJy8yPO0wmnBq1iNOGe3m0th0Y7EK5K+qAXYnsAi9Yq45ohL&#10;pQEmFKCj9KPYGPlu0w0ObHS1T3YkCHQxUQ83Ll6T3+eJ6PFdLH8BAAD//wMAUEsDBBQABgAIAAAA&#10;IQASpxNU4AAAAAoBAAAPAAAAZHJzL2Rvd25yZXYueG1sTI9NT8MwDIbvSPyHyEjctnRdBV1pOiHQ&#10;NIG4bEPi6jWhKTRO12Rb+fd4J7j549Hrx+VydJ04mSG0nhTMpgkIQ7XXLTUK3nerSQ4iRCSNnSej&#10;4McEWFbXVyUW2p9pY07b2AgOoVCgAhtjX0gZamschqnvDfHu0w8OI7dDI/WAZw53nUyT5E46bIkv&#10;WOzNkzX19/boFODzehM/8vT1vn2xb1+71WFt84NStzfj4wOIaMb4B8NFn9WhYqe9P5IOolMwybPF&#10;jFkF83QB4kJkcy72PMgykFUp/79Q/QIAAP//AwBQSwECLQAUAAYACAAAACEAtoM4kv4AAADhAQAA&#10;EwAAAAAAAAAAAAAAAAAAAAAAW0NvbnRlbnRfVHlwZXNdLnhtbFBLAQItABQABgAIAAAAIQA4/SH/&#10;1gAAAJQBAAALAAAAAAAAAAAAAAAAAC8BAABfcmVscy8ucmVsc1BLAQItABQABgAIAAAAIQD/jvyA&#10;1QEAAF8DAAAOAAAAAAAAAAAAAAAAAC4CAABkcnMvZTJvRG9jLnhtbFBLAQItABQABgAIAAAAIQAS&#10;pxNU4AAAAAoBAAAPAAAAAAAAAAAAAAAAAC8EAABkcnMvZG93bnJldi54bWxQSwUGAAAAAAQABADz&#10;AAAAPAUAAAAA&#10;" strokeweight="1pt"/>
                  </w:pict>
                </mc:Fallback>
              </mc:AlternateConten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  <w:r>
              <w:t>36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— реєстратор місця проживання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     Всього: 3</w:t>
            </w:r>
          </w:p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13. Відділ економіки, торгівлі та</w:t>
            </w: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побутового обслуговування населення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B1F5E" wp14:editId="54BF4F76">
                      <wp:simplePos x="0" y="0"/>
                      <wp:positionH relativeFrom="column">
                        <wp:posOffset>3171939</wp:posOffset>
                      </wp:positionH>
                      <wp:positionV relativeFrom="paragraph">
                        <wp:posOffset>89863</wp:posOffset>
                      </wp:positionV>
                      <wp:extent cx="171000" cy="9000"/>
                      <wp:effectExtent l="23850" t="14250" r="24300" b="525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19600">
                                <a:off x="0" y="0"/>
                                <a:ext cx="171000" cy="90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cd2">
                                    <a:pos x="l" y="vc"/>
                                  </a:cxn>
                                  <a:cxn ang="cd4">
                                    <a:pos x="hc" y="b"/>
                                  </a:cxn>
                                  <a:cxn ang="0">
                                    <a:pos x="r" y="vc"/>
                                  </a:cxn>
                                </a:cxnLst>
                                <a:rect l="l" t="t" r="r" b="b"/>
                                <a:pathLst>
                                  <a:path w="476" h="26" fill="none">
                                    <a:moveTo>
                                      <a:pt x="0" y="0"/>
                                    </a:moveTo>
                                    <a:lnTo>
                                      <a:pt x="266" y="3"/>
                                    </a:lnTo>
                                    <a:lnTo>
                                      <a:pt x="476" y="26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4C38D9" w:rsidRDefault="004C38D9" w:rsidP="004C38D9"/>
                              </w:txbxContent>
                            </wps:txbx>
                            <wps:bodyPr vert="horz" wrap="none" lIns="0" tIns="0" rIns="0" bIns="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249.75pt;margin-top:7.1pt;width:13.45pt;height:.7pt;rotation:5482742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76,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REhgIAAF4FAAAOAAAAZHJzL2Uyb0RvYy54bWysVFtu2zAQ/C/QOxD8b/RIajdC5HwkSFEg&#10;aAM4PQBNUZYAiSRIxpJ7iR6h1whQtGdwbtQhJTlOmvwUNWBpqV3OzuwueXbetw3ZCGNrJXOaHMWU&#10;CMlVUct1Tr/eXr37QIl1TBasUVLkdCssPV+8fXPW6UykqlJNIQwBiLRZp3NaOaezKLK8Ei2zR0oL&#10;CWepTMsclmYdFYZ1QG+bKI3jWdQpU2ijuLAWXy8HJ10E/LIU3H0pSyscaXIKbi48TXiu/DNanLFs&#10;bZiuaj7SYP/AomW1RNI91CVzjNyZ+i+otuZGWVW6I67aSJVlzUXQADVJ/EzNsmJaBC0ojtX7Mtn/&#10;B8s/b24MqYucppRI1qJFux+737ufu/vw/7W7f/hOUl+nTtsM4Ut9Y8aVhelF96VpiVEo7vs4OZ3F&#10;cSgFxJE+VHq7r7ToHeH4mMyTGGGEw3XqLSBGA5AH5HfWfRSq9TbbXFs3tKmYLFZNFu8lzLCnl4T5&#10;qTvmxUkgoJX1BCpOCdK4MQd2PAnnRXoY3YTgDX81+iXs1SvRQyFGHuYFZGh+VGAwrX5OQQGldJRg&#10;TrEJcxrwWaaZ88I9fW+SLqcn8xklFbqHV1k32C1xzoKgVm3ErQrB7lkjkPbR28jDqHQGJJTreJQ0&#10;eae3DlghLaKQdujc4AauJxZ6uSfrNR70U6or8AwNbaSXkKTzcWKsaurCez1pa9ari8aQDfNHN/zG&#10;XE/CtLHuktlqiAuuPSXw8EM7jKm3XL/qkdmbK1VsMfm4ulDrSplvlHS4Bsb6keaTxCnzN8ZkmMlY&#10;TQaTHBtzyh26NCwuHNYJ5lq10H8tl5qPsx+Y4BCH2owXjr8lDteB7+O1uPgDAAD//wMAUEsDBBQA&#10;BgAIAAAAIQDGz1OU3wAAAAgBAAAPAAAAZHJzL2Rvd25yZXYueG1sTI9dS8NAEEXfBf/DMoJvdvNh&#10;bY3ZFC0IYlFIFXzdZsckNDsbsps0+usdn/RxOJd7z+Sb2XZiwsG3jhTEiwgEUuVMS7WC97fHqzUI&#10;HzQZ3TlCBV/oYVOcn+U6M+5EJU77UAsuIZ9pBU0IfSalrxq02i9cj8Ts0w1WBz6HWppBn7jcdjKJ&#10;ohtpdUu80Ogetw1Wx/1oFTzbIHdHev3YTub76eH2pbSrsVTq8mK+vwMRcA5/YfjVZ3Uo2OngRjJe&#10;dAqWcZJylME1CObLOF2BOChI1inIIpf/Hyh+AAAA//8DAFBLAQItABQABgAIAAAAIQC2gziS/gAA&#10;AOEBAAATAAAAAAAAAAAAAAAAAAAAAABbQ29udGVudF9UeXBlc10ueG1sUEsBAi0AFAAGAAgAAAAh&#10;ADj9If/WAAAAlAEAAAsAAAAAAAAAAAAAAAAALwEAAF9yZWxzLy5yZWxzUEsBAi0AFAAGAAgAAAAh&#10;AGvy1ESGAgAAXgUAAA4AAAAAAAAAAAAAAAAALgIAAGRycy9lMm9Eb2MueG1sUEsBAi0AFAAGAAgA&#10;AAAhAMbPU5TfAAAACAEAAA8AAAAAAAAAAAAAAAAA4AQAAGRycy9kb3ducmV2LnhtbFBLBQYAAAAA&#10;BAAEAPMAAADsBQAAAAA=&#10;" adj="-11796480,,5400" path="m,nfl266,3,476,26e" filled="f" strokeweight="1pt">
                      <v:stroke joinstyle="miter"/>
                      <v:formulas/>
                      <v:path arrowok="t" o:connecttype="custom" o:connectlocs="85500,0;0,4500;85500,9000;171000,4500" o:connectangles="270,180,90,0" textboxrect="0,0,476,26"/>
                      <v:textbox inset="0,0,0,0">
                        <w:txbxContent>
                          <w:p w:rsidR="004C38D9" w:rsidRDefault="004C38D9" w:rsidP="004C38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83470" wp14:editId="34E08CF9">
                      <wp:simplePos x="0" y="0"/>
                      <wp:positionH relativeFrom="column">
                        <wp:posOffset>4767120</wp:posOffset>
                      </wp:positionH>
                      <wp:positionV relativeFrom="paragraph">
                        <wp:posOffset>18360</wp:posOffset>
                      </wp:positionV>
                      <wp:extent cx="9360" cy="200160"/>
                      <wp:effectExtent l="0" t="0" r="28740" b="2844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60" cy="2001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/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5pt,1.45pt" to="376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2Mk3AEAAG8DAAAOAAAAZHJzL2Uyb0RvYy54bWysU82O0zAQviPxDpbvNGkrLRA13cNWywVB&#10;JWDvrmM3lvwn2zTpDTgj9RF4BQ4grbTAMzhvxNgJ5e+GyMEaz/fly8w3k9VlryQ6MOeF0TWez0qM&#10;mKamEXpf41cvrx88wsgHohsijWY1PjKPL9f37606W7GFaY1smEMgon3V2Rq3IdiqKDxtmSJ+ZizT&#10;AHLjFAlwdfuicaQDdSWLRVleFJ1xjXWGMu8huxlBvM76nDMannPuWUCyxlBbyKfL5y6dxXpFqr0j&#10;thV0KoP8QxWKCA0fPUttSCDotRN/SSlBnfGGhxk1qjCcC8pyD9DNvPyjmxctsSz3AuZ4e7bJ/z9Z&#10;+uywdUg0NV5ipImCEcUPw5vhFL/Ej8MJDW/jt/g5foq38Wu8Hd5BfDe8hziB8W5Kn9AyOdlZX4Hg&#10;ld666ebt1iVbeu4U4lLYG1iSbBS0jvo8h+N5DqwPiELy8fICZkUBgBHPIQa1YhRJYtb58IQZhVJQ&#10;Yyl0MolU5PDUh5H6g5LS2lwLKSFPKqlRBwUsHpZlfsMbKZqEJtC7/e5KOnQgaVfyM334N1qS3hDf&#10;jrwMTTSpoczkwdh1ikK/67O7i8RJmZ1pjtmezISp5tamDUxr8+s96/38T9bfAQAA//8DAFBLAwQU&#10;AAYACAAAACEA8cV2S98AAAAIAQAADwAAAGRycy9kb3ducmV2LnhtbEyPT0+DQBTE7yb9Dptn4s0u&#10;YBFLWRrjn8TEEGP10tsr+wRS9i1htxS/vetJj5OZzPym2M6mFxONrrOsIF5GIIhrqztuFHx+PF/f&#10;gXAeWWNvmRR8k4NtubgoMNf2zO807XwjQgm7HBW03g+5lK5uyaBb2oE4eF92NOiDHBupRzyHctPL&#10;JIpupcGOw0KLAz20VB93J6Ngiit+e3na28dXrJo0rvS+zrxSV5fz/QaEp9n/heEXP6BDGZgO9sTa&#10;iV5BlkZZiCpI1iCCn6VJAuKg4Ga1AlkW8v+B8gcAAP//AwBQSwECLQAUAAYACAAAACEAtoM4kv4A&#10;AADhAQAAEwAAAAAAAAAAAAAAAAAAAAAAW0NvbnRlbnRfVHlwZXNdLnhtbFBLAQItABQABgAIAAAA&#10;IQA4/SH/1gAAAJQBAAALAAAAAAAAAAAAAAAAAC8BAABfcmVscy8ucmVsc1BLAQItABQABgAIAAAA&#10;IQCBf2Mk3AEAAG8DAAAOAAAAAAAAAAAAAAAAAC4CAABkcnMvZTJvRG9jLnhtbFBLAQItABQABgAI&#10;AAAAIQDxxXZL3wAAAAgBAAAPAAAAAAAAAAAAAAAAADYEAABkcnMvZG93bnJldi54bWxQSwUGAAAA&#10;AAQABADzAAAAQgUAAAAA&#10;" strokeweight="1pt"/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>Начальник відділу                                                         1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both"/>
              <w:rPr>
                <w:lang w:val="ru-RU"/>
              </w:rPr>
            </w:pPr>
            <w:r w:rsidRPr="00A66387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14.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мобілізаційної роботи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мобілізаційної роботи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 Управління праці та соціального захисту населення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по контролю за нарахуванням пенсій, спеціаліст по обслуговуванню </w:t>
            </w:r>
            <w:proofErr w:type="spellStart"/>
            <w:r w:rsidRPr="00A66387">
              <w:rPr>
                <w:sz w:val="28"/>
                <w:szCs w:val="28"/>
                <w:lang w:val="ru-RU"/>
              </w:rPr>
              <w:t>комп'ютерної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державний соціальний інспектор — головний спеціаліст, юрисконсульт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по діловодству, зверненнях громадян та кадровій роботі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15.1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Відділ з питань праці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15.2. Відділ допомог та субсидій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15.3. Сектор з прийому заяв та документів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спеціаліст-координатор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15.4. Сектор опрацювання заяв та прийняття рішень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51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15.5. Відділ персоніфікованого обліку отримувачів пільг та компенсацій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15.6. Відділ з питань захисту потерпілих внаслідок Чорнобильської катастрофи та інвалідів міста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Всього:19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16.     Відділ освіти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Всього:4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17. Відділ культури та туризму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18. Фінансове управління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звітності-головний бухгалтер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lastRenderedPageBreak/>
              <w:t>65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Всього:8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19.Відділ з питань  молоді та спорту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52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4C38D9" w:rsidRDefault="004C38D9" w:rsidP="00E103F4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20. Служба у справах дітей</w:t>
            </w: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опіки, піклування та усиновлення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RPr="00A66387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both"/>
              <w:rPr>
                <w:lang w:val="ru-RU"/>
              </w:rPr>
            </w:pPr>
            <w:r w:rsidRPr="00A66387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21.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Центр соціальних служб для </w:t>
            </w:r>
            <w:r w:rsidRPr="00A66387">
              <w:rPr>
                <w:b/>
                <w:bCs/>
                <w:i/>
                <w:iCs/>
                <w:sz w:val="28"/>
                <w:szCs w:val="28"/>
                <w:lang w:val="ru-RU"/>
              </w:rPr>
              <w:t>сім'ї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, дітей та молоді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Pr="00A66387" w:rsidRDefault="004C38D9" w:rsidP="00E103F4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  <w:tr w:rsidR="004C38D9" w:rsidTr="00E103F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C38D9" w:rsidRDefault="004C38D9" w:rsidP="00E103F4">
            <w:pPr>
              <w:pStyle w:val="Standard"/>
              <w:snapToGrid w:val="0"/>
              <w:jc w:val="center"/>
            </w:pPr>
          </w:p>
        </w:tc>
      </w:tr>
    </w:tbl>
    <w:p w:rsidR="004C38D9" w:rsidRDefault="004C38D9" w:rsidP="004C38D9">
      <w:pPr>
        <w:pStyle w:val="Standard"/>
        <w:jc w:val="center"/>
      </w:pPr>
      <w:r>
        <w:rPr>
          <w:lang w:val="uk-UA"/>
        </w:rPr>
        <w:t xml:space="preserve">                                                                      </w:t>
      </w:r>
    </w:p>
    <w:p w:rsidR="004C38D9" w:rsidRDefault="004C38D9" w:rsidP="004C38D9">
      <w:pPr>
        <w:pStyle w:val="Standard"/>
        <w:jc w:val="center"/>
      </w:pPr>
      <w:r>
        <w:rPr>
          <w:lang w:val="uk-UA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Разом: 87</w:t>
      </w:r>
    </w:p>
    <w:p w:rsidR="004C38D9" w:rsidRDefault="004C38D9" w:rsidP="004C38D9">
      <w:pPr>
        <w:pStyle w:val="Standard"/>
        <w:jc w:val="center"/>
      </w:pPr>
    </w:p>
    <w:p w:rsidR="004C38D9" w:rsidRDefault="004C38D9" w:rsidP="004C38D9">
      <w:pPr>
        <w:pStyle w:val="Standard"/>
        <w:jc w:val="center"/>
      </w:pPr>
    </w:p>
    <w:p w:rsidR="004C38D9" w:rsidRDefault="004C38D9" w:rsidP="004C38D9">
      <w:pPr>
        <w:pStyle w:val="Standard"/>
        <w:jc w:val="center"/>
      </w:pPr>
    </w:p>
    <w:p w:rsidR="004C38D9" w:rsidRDefault="004C38D9" w:rsidP="004C38D9">
      <w:pPr>
        <w:pStyle w:val="Standard"/>
        <w:jc w:val="center"/>
        <w:rPr>
          <w:b/>
          <w:bCs/>
          <w:sz w:val="28"/>
          <w:szCs w:val="28"/>
        </w:rPr>
      </w:pPr>
    </w:p>
    <w:p w:rsidR="004C38D9" w:rsidRDefault="004C38D9" w:rsidP="004C38D9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І.Ткачук</w:t>
      </w:r>
    </w:p>
    <w:p w:rsidR="005D5F24" w:rsidRPr="004C38D9" w:rsidRDefault="005D5F24">
      <w:pPr>
        <w:rPr>
          <w:lang w:val="uk-UA"/>
        </w:rPr>
      </w:pPr>
    </w:p>
    <w:sectPr w:rsidR="005D5F24" w:rsidRPr="004C38D9" w:rsidSect="00EE6162">
      <w:type w:val="continuous"/>
      <w:pgSz w:w="11905" w:h="16837"/>
      <w:pgMar w:top="1418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13"/>
    <w:rsid w:val="00132092"/>
    <w:rsid w:val="004C38D9"/>
    <w:rsid w:val="005D5F24"/>
    <w:rsid w:val="009B1413"/>
    <w:rsid w:val="00C3650E"/>
    <w:rsid w:val="00E916A3"/>
    <w:rsid w:val="00E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6362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2016-06-01T12:23:00Z</dcterms:created>
  <dcterms:modified xsi:type="dcterms:W3CDTF">2016-06-01T12:24:00Z</dcterms:modified>
</cp:coreProperties>
</file>